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DFC250" w14:textId="0CFE74E4" w:rsidR="003F1AFC" w:rsidRDefault="006B1D3C" w:rsidP="00185181">
      <w:pPr>
        <w:pStyle w:val="Heading1"/>
      </w:pPr>
      <w:r>
        <w:rPr>
          <w:noProof/>
        </w:rPr>
        <w:drawing>
          <wp:anchor distT="0" distB="0" distL="114300" distR="114300" simplePos="0" relativeHeight="251660288" behindDoc="1" locked="0" layoutInCell="1" allowOverlap="1" wp14:anchorId="0472713D" wp14:editId="3BF905B6">
            <wp:simplePos x="0" y="0"/>
            <wp:positionH relativeFrom="margin">
              <wp:align>right</wp:align>
            </wp:positionH>
            <wp:positionV relativeFrom="paragraph">
              <wp:posOffset>343535</wp:posOffset>
            </wp:positionV>
            <wp:extent cx="1659890" cy="1604010"/>
            <wp:effectExtent l="0" t="0" r="0" b="0"/>
            <wp:wrapSquare wrapText="bothSides"/>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Covid-19 with solid fill"/>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9890" cy="1604010"/>
                    </a:xfrm>
                    <a:prstGeom prst="rect">
                      <a:avLst/>
                    </a:prstGeom>
                  </pic:spPr>
                </pic:pic>
              </a:graphicData>
            </a:graphic>
            <wp14:sizeRelH relativeFrom="page">
              <wp14:pctWidth>0</wp14:pctWidth>
            </wp14:sizeRelH>
            <wp14:sizeRelV relativeFrom="page">
              <wp14:pctHeight>0</wp14:pctHeight>
            </wp14:sizeRelV>
          </wp:anchor>
        </w:drawing>
      </w:r>
      <w:r w:rsidR="003F1AFC">
        <w:rPr>
          <w:noProof/>
        </w:rPr>
        <w:drawing>
          <wp:inline distT="0" distB="0" distL="0" distR="0" wp14:anchorId="0F140866" wp14:editId="0E92F219">
            <wp:extent cx="17526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felong Links squiggle 40px.jpg"/>
                    <pic:cNvPicPr/>
                  </pic:nvPicPr>
                  <pic:blipFill>
                    <a:blip r:embed="rId8">
                      <a:extLst>
                        <a:ext uri="{28A0092B-C50C-407E-A947-70E740481C1C}">
                          <a14:useLocalDpi xmlns:a14="http://schemas.microsoft.com/office/drawing/2010/main" val="0"/>
                        </a:ext>
                      </a:extLst>
                    </a:blip>
                    <a:stretch>
                      <a:fillRect/>
                    </a:stretch>
                  </pic:blipFill>
                  <pic:spPr>
                    <a:xfrm>
                      <a:off x="0" y="0"/>
                      <a:ext cx="175260" cy="304800"/>
                    </a:xfrm>
                    <a:prstGeom prst="rect">
                      <a:avLst/>
                    </a:prstGeom>
                  </pic:spPr>
                </pic:pic>
              </a:graphicData>
            </a:graphic>
          </wp:inline>
        </w:drawing>
      </w:r>
      <w:r w:rsidR="003F1AFC">
        <w:t xml:space="preserve"> Introduction</w:t>
      </w:r>
    </w:p>
    <w:p w14:paraId="15CD7F1E" w14:textId="3BD0CF33" w:rsidR="00883FC9" w:rsidRDefault="002F6365" w:rsidP="006C68D1">
      <w:r>
        <w:t xml:space="preserve">In June 2020 </w:t>
      </w:r>
      <w:r w:rsidR="00601E00">
        <w:t xml:space="preserve">CELCIS </w:t>
      </w:r>
      <w:r>
        <w:t xml:space="preserve">produced </w:t>
      </w:r>
      <w:r w:rsidR="00601E00">
        <w:t xml:space="preserve">the </w:t>
      </w:r>
      <w:r>
        <w:t xml:space="preserve">first </w:t>
      </w:r>
      <w:hyperlink r:id="rId9" w:history="1">
        <w:r w:rsidRPr="00D910A1">
          <w:rPr>
            <w:rStyle w:val="Hyperlink"/>
          </w:rPr>
          <w:t>Lifelong Links Briefing</w:t>
        </w:r>
      </w:hyperlink>
      <w:r>
        <w:t>, outlining the ongoing evaluation of Lifelong Links in Scotland</w:t>
      </w:r>
      <w:r w:rsidR="003828FB">
        <w:t xml:space="preserve">. In </w:t>
      </w:r>
      <w:r w:rsidR="00CE0D7F">
        <w:t>it,</w:t>
      </w:r>
      <w:r w:rsidR="003828FB">
        <w:t xml:space="preserve"> we presented</w:t>
      </w:r>
      <w:r>
        <w:t xml:space="preserve"> some of the initial topics that </w:t>
      </w:r>
      <w:r w:rsidR="00883FC9">
        <w:t>were</w:t>
      </w:r>
      <w:r>
        <w:t xml:space="preserve"> emerging from the data we had received or collected. </w:t>
      </w:r>
      <w:r w:rsidR="00CE0D7F">
        <w:t>The aim was to help</w:t>
      </w:r>
      <w:r>
        <w:t xml:space="preserve"> local sites and Family Rights Group to continue to develop their practice and improve the lives of children and young people in Scotland. </w:t>
      </w:r>
    </w:p>
    <w:p w14:paraId="5E05ACB2" w14:textId="33350E1B" w:rsidR="006C68D1" w:rsidRDefault="002F6365" w:rsidP="006C68D1">
      <w:r>
        <w:t>In this follow up Briefing, we highlight some of the new things we have been hearing</w:t>
      </w:r>
      <w:r w:rsidR="00F82767">
        <w:t xml:space="preserve">, focusing on </w:t>
      </w:r>
      <w:r>
        <w:t xml:space="preserve">the </w:t>
      </w:r>
      <w:r w:rsidR="00F82767">
        <w:t xml:space="preserve">impact </w:t>
      </w:r>
      <w:r w:rsidR="00CE0D7F">
        <w:t xml:space="preserve">that </w:t>
      </w:r>
      <w:r w:rsidR="00F82767">
        <w:t xml:space="preserve">the </w:t>
      </w:r>
      <w:r>
        <w:t xml:space="preserve">COVID-19 </w:t>
      </w:r>
      <w:r w:rsidR="00CE0D7F">
        <w:t xml:space="preserve">public health emergency has had </w:t>
      </w:r>
      <w:r>
        <w:t>on Lifelong Links. These are by no means conclusive and are simply indications of topics</w:t>
      </w:r>
      <w:r w:rsidR="00CE0D7F">
        <w:t>,</w:t>
      </w:r>
      <w:r>
        <w:t xml:space="preserve"> which have been raised by participants. We will also provide an update on the overall evaluation activities in Scotland and outline what we hope to achieve between now and the evaluation ending in March 2023.</w:t>
      </w:r>
    </w:p>
    <w:p w14:paraId="5E481B9D" w14:textId="3527D459" w:rsidR="002F6365" w:rsidRDefault="002F6365" w:rsidP="006C68D1">
      <w:r>
        <w:t xml:space="preserve">Since our last Briefing, </w:t>
      </w:r>
      <w:r w:rsidR="00CE0D7F">
        <w:t xml:space="preserve">a </w:t>
      </w:r>
      <w:hyperlink r:id="rId10" w:history="1">
        <w:r w:rsidR="00CE0D7F" w:rsidRPr="00CE0D7F">
          <w:rPr>
            <w:rStyle w:val="Hyperlink"/>
          </w:rPr>
          <w:t>report</w:t>
        </w:r>
      </w:hyperlink>
      <w:r w:rsidR="00CE0D7F">
        <w:t xml:space="preserve"> detailing </w:t>
      </w:r>
      <w:r>
        <w:t>the English evaluation of Lifelong Links by the Rees Centre at the University of Oxford</w:t>
      </w:r>
      <w:r w:rsidR="00CE0D7F">
        <w:t xml:space="preserve">, and published by the Department </w:t>
      </w:r>
      <w:r w:rsidR="00B50748">
        <w:t>for</w:t>
      </w:r>
      <w:r w:rsidR="00CE0D7F">
        <w:t xml:space="preserve"> Education</w:t>
      </w:r>
      <w:r w:rsidR="00B50748">
        <w:t>, is now available</w:t>
      </w:r>
      <w:r w:rsidR="00CE0D7F">
        <w:t>.</w:t>
      </w:r>
      <w:r>
        <w:t xml:space="preserve"> </w:t>
      </w:r>
    </w:p>
    <w:p w14:paraId="07684062" w14:textId="598BAA00" w:rsidR="00572C68" w:rsidRDefault="00787AF3" w:rsidP="00185181">
      <w:pPr>
        <w:pStyle w:val="Heading2"/>
      </w:pPr>
      <w:r>
        <w:rPr>
          <w:noProof/>
        </w:rPr>
        <w:drawing>
          <wp:inline distT="0" distB="0" distL="0" distR="0" wp14:anchorId="2DFF44E7" wp14:editId="545992AB">
            <wp:extent cx="175260" cy="30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felong Links squiggle 40px.jpg"/>
                    <pic:cNvPicPr/>
                  </pic:nvPicPr>
                  <pic:blipFill>
                    <a:blip r:embed="rId8">
                      <a:extLst>
                        <a:ext uri="{28A0092B-C50C-407E-A947-70E740481C1C}">
                          <a14:useLocalDpi xmlns:a14="http://schemas.microsoft.com/office/drawing/2010/main" val="0"/>
                        </a:ext>
                      </a:extLst>
                    </a:blip>
                    <a:stretch>
                      <a:fillRect/>
                    </a:stretch>
                  </pic:blipFill>
                  <pic:spPr>
                    <a:xfrm>
                      <a:off x="0" y="0"/>
                      <a:ext cx="175260" cy="304800"/>
                    </a:xfrm>
                    <a:prstGeom prst="rect">
                      <a:avLst/>
                    </a:prstGeom>
                  </pic:spPr>
                </pic:pic>
              </a:graphicData>
            </a:graphic>
          </wp:inline>
        </w:drawing>
      </w:r>
      <w:r>
        <w:t xml:space="preserve"> </w:t>
      </w:r>
      <w:r w:rsidR="00C84CB4">
        <w:t>What is Lifelong Links?</w:t>
      </w:r>
    </w:p>
    <w:p w14:paraId="6461A0AD" w14:textId="1C8083F5" w:rsidR="00421767" w:rsidRPr="00D910A1" w:rsidRDefault="00421767" w:rsidP="00497AE2">
      <w:r w:rsidRPr="00D910A1">
        <w:t>Lifelong Links</w:t>
      </w:r>
      <w:r w:rsidR="00EB1839" w:rsidRPr="00D910A1">
        <w:t xml:space="preserve"> </w:t>
      </w:r>
      <w:r w:rsidRPr="00D910A1">
        <w:t xml:space="preserve">is an innovative approach to supporting </w:t>
      </w:r>
      <w:r w:rsidR="00C84CB4" w:rsidRPr="00D910A1">
        <w:t xml:space="preserve">children and young people who are </w:t>
      </w:r>
      <w:r w:rsidRPr="00D910A1">
        <w:t>looked after</w:t>
      </w:r>
      <w:r w:rsidR="00C84CB4" w:rsidRPr="00D910A1">
        <w:t xml:space="preserve"> away from their parents</w:t>
      </w:r>
      <w:r w:rsidRPr="00D910A1">
        <w:t xml:space="preserve"> and their families. It </w:t>
      </w:r>
      <w:r w:rsidR="00EB1839" w:rsidRPr="00D910A1">
        <w:t>was developed by F</w:t>
      </w:r>
      <w:r w:rsidR="00C84CB4" w:rsidRPr="00D910A1">
        <w:t xml:space="preserve">amily </w:t>
      </w:r>
      <w:r w:rsidR="00EB1839" w:rsidRPr="00D910A1">
        <w:t>R</w:t>
      </w:r>
      <w:r w:rsidR="00C84CB4" w:rsidRPr="00D910A1">
        <w:t xml:space="preserve">ights </w:t>
      </w:r>
      <w:r w:rsidR="00EB1839" w:rsidRPr="00D910A1">
        <w:t>G</w:t>
      </w:r>
      <w:r w:rsidR="00C84CB4" w:rsidRPr="00D910A1">
        <w:t xml:space="preserve">roup </w:t>
      </w:r>
      <w:r w:rsidR="00EB1839" w:rsidRPr="00D910A1">
        <w:t xml:space="preserve">to </w:t>
      </w:r>
      <w:r w:rsidRPr="00D910A1">
        <w:t xml:space="preserve">address concerns about </w:t>
      </w:r>
      <w:r w:rsidR="00EB1839" w:rsidRPr="00D910A1">
        <w:t xml:space="preserve">how networks of children who are looked after can become fragmented, impacting upon their sense of </w:t>
      </w:r>
      <w:r w:rsidRPr="00D910A1">
        <w:t>belonging</w:t>
      </w:r>
      <w:r w:rsidR="00EB1839" w:rsidRPr="00D910A1">
        <w:t xml:space="preserve"> and</w:t>
      </w:r>
      <w:r w:rsidRPr="00D910A1">
        <w:t xml:space="preserve"> identity. </w:t>
      </w:r>
      <w:r w:rsidR="00EB1839" w:rsidRPr="00D910A1">
        <w:t xml:space="preserve">The Lifelong Links approach aims to improve both </w:t>
      </w:r>
      <w:r w:rsidRPr="00D910A1">
        <w:t xml:space="preserve">experiences and outcomes for children and young people. </w:t>
      </w:r>
    </w:p>
    <w:p w14:paraId="184FBC44" w14:textId="715D5AF2" w:rsidR="00C84CB4" w:rsidRPr="00D910A1" w:rsidRDefault="00421767" w:rsidP="00497AE2">
      <w:r w:rsidRPr="00D910A1">
        <w:t xml:space="preserve">The Lifelong Links </w:t>
      </w:r>
      <w:r w:rsidR="00EB1839" w:rsidRPr="00D910A1">
        <w:t>process works</w:t>
      </w:r>
      <w:r w:rsidRPr="00D910A1">
        <w:t xml:space="preserve"> to identify and engage relatives and other supportive adults, including those who have </w:t>
      </w:r>
      <w:r w:rsidR="00EB1839" w:rsidRPr="00D910A1">
        <w:t>become distant, or are</w:t>
      </w:r>
      <w:r w:rsidRPr="00D910A1">
        <w:t xml:space="preserve"> not yet known</w:t>
      </w:r>
      <w:r w:rsidR="00EB1839" w:rsidRPr="00D910A1">
        <w:t xml:space="preserve"> to the child or young person</w:t>
      </w:r>
      <w:r w:rsidRPr="00D910A1">
        <w:t xml:space="preserve">. Lifelong Links </w:t>
      </w:r>
      <w:r w:rsidR="00EB1839" w:rsidRPr="00D910A1">
        <w:t>has a set of</w:t>
      </w:r>
      <w:r w:rsidRPr="00D910A1">
        <w:t xml:space="preserve"> tools and techniques that professionals can use to search for and find family members (known and unknown) and other adults (such as former foster carers and teachers) who care about the child. This network of people is then brought together in a family group conference (</w:t>
      </w:r>
      <w:r w:rsidR="00EB1839" w:rsidRPr="00D910A1">
        <w:t>also known as family group decision making</w:t>
      </w:r>
      <w:r w:rsidRPr="00D910A1">
        <w:t xml:space="preserve">) to make a support plan with the child or young person. </w:t>
      </w:r>
    </w:p>
    <w:p w14:paraId="5EF73FE9" w14:textId="77777777" w:rsidR="00A16AF9" w:rsidRDefault="00421767" w:rsidP="00497AE2">
      <w:r w:rsidRPr="00D910A1">
        <w:t xml:space="preserve">By identifying adults who are willing to make a life-long commitment to the </w:t>
      </w:r>
      <w:r w:rsidR="00EB1839" w:rsidRPr="00D910A1">
        <w:t>child or young person</w:t>
      </w:r>
      <w:r w:rsidR="00C84CB4" w:rsidRPr="00D910A1">
        <w:t>, Lifelong Links aims to increase</w:t>
      </w:r>
      <w:r w:rsidRPr="00D910A1">
        <w:t xml:space="preserve"> their sense of permanence, security and wellbeing. </w:t>
      </w:r>
    </w:p>
    <w:p w14:paraId="2D4C10B0" w14:textId="77777777" w:rsidR="00A16AF9" w:rsidRDefault="00A16AF9" w:rsidP="00497AE2"/>
    <w:p w14:paraId="6E66E2A4" w14:textId="77777777" w:rsidR="00A16AF9" w:rsidRDefault="00A16AF9" w:rsidP="00497AE2"/>
    <w:p w14:paraId="4CAF2A21" w14:textId="77777777" w:rsidR="00A16AF9" w:rsidRDefault="00A16AF9" w:rsidP="00497AE2"/>
    <w:p w14:paraId="2E3CA6E0" w14:textId="0A02D9F7" w:rsidR="00C84CB4" w:rsidRPr="00D910A1" w:rsidRDefault="00421767" w:rsidP="00497AE2">
      <w:r w:rsidRPr="00D910A1">
        <w:t>It is hoped the resulting continuity and permanence of relationships (be it with relatives or others connected to the child</w:t>
      </w:r>
      <w:r w:rsidR="00C84CB4" w:rsidRPr="00D910A1">
        <w:t xml:space="preserve"> or young person</w:t>
      </w:r>
      <w:r w:rsidRPr="00D910A1">
        <w:t>) will provide ongoing support, an explanation of historical events</w:t>
      </w:r>
      <w:r w:rsidR="00C84CB4" w:rsidRPr="00D910A1">
        <w:t>,</w:t>
      </w:r>
      <w:r w:rsidRPr="00D910A1">
        <w:t xml:space="preserve"> and reinforce identity, belonging and a sense of self.</w:t>
      </w:r>
    </w:p>
    <w:p w14:paraId="7DE07A2D" w14:textId="1C6121CE" w:rsidR="00421767" w:rsidRPr="00421767" w:rsidRDefault="00787AF3" w:rsidP="00497AE2">
      <w:pPr>
        <w:pStyle w:val="Heading2"/>
      </w:pPr>
      <w:r>
        <w:rPr>
          <w:noProof/>
        </w:rPr>
        <w:drawing>
          <wp:inline distT="0" distB="0" distL="0" distR="0" wp14:anchorId="555A92E8" wp14:editId="5FA0FD70">
            <wp:extent cx="17526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felong Links squiggle 40px.jpg"/>
                    <pic:cNvPicPr/>
                  </pic:nvPicPr>
                  <pic:blipFill>
                    <a:blip r:embed="rId8">
                      <a:extLst>
                        <a:ext uri="{28A0092B-C50C-407E-A947-70E740481C1C}">
                          <a14:useLocalDpi xmlns:a14="http://schemas.microsoft.com/office/drawing/2010/main" val="0"/>
                        </a:ext>
                      </a:extLst>
                    </a:blip>
                    <a:stretch>
                      <a:fillRect/>
                    </a:stretch>
                  </pic:blipFill>
                  <pic:spPr>
                    <a:xfrm>
                      <a:off x="0" y="0"/>
                      <a:ext cx="175260" cy="304800"/>
                    </a:xfrm>
                    <a:prstGeom prst="rect">
                      <a:avLst/>
                    </a:prstGeom>
                  </pic:spPr>
                </pic:pic>
              </a:graphicData>
            </a:graphic>
          </wp:inline>
        </w:drawing>
      </w:r>
      <w:r w:rsidR="00C84CB4">
        <w:t>The Evaluation</w:t>
      </w:r>
      <w:r w:rsidR="00421767" w:rsidRPr="00421767">
        <w:t xml:space="preserve"> </w:t>
      </w:r>
    </w:p>
    <w:p w14:paraId="29B87118" w14:textId="300C5CCF" w:rsidR="00572C68" w:rsidRPr="00D910A1" w:rsidRDefault="00C84CB4" w:rsidP="00497AE2">
      <w:r w:rsidRPr="00D910A1">
        <w:t xml:space="preserve">Lifelong Links is currently being trialled in </w:t>
      </w:r>
      <w:r w:rsidR="002F6365" w:rsidRPr="00D910A1">
        <w:t>five</w:t>
      </w:r>
      <w:r w:rsidRPr="00D910A1">
        <w:t xml:space="preserve"> Scottish local authorities</w:t>
      </w:r>
      <w:r w:rsidR="002F6365" w:rsidRPr="00D910A1">
        <w:t>, three of whom are taking part in the Scottish Evaluation</w:t>
      </w:r>
      <w:r w:rsidRPr="00D910A1">
        <w:t xml:space="preserve">. </w:t>
      </w:r>
      <w:r w:rsidR="00421767" w:rsidRPr="00D910A1">
        <w:t>Working collaboratively with colleagues from the Rees Centre (</w:t>
      </w:r>
      <w:r w:rsidRPr="00D910A1">
        <w:t xml:space="preserve">based at the </w:t>
      </w:r>
      <w:r w:rsidR="00421767" w:rsidRPr="00D910A1">
        <w:t>University of Oxford) and F</w:t>
      </w:r>
      <w:r w:rsidR="00B87A97" w:rsidRPr="00D910A1">
        <w:t xml:space="preserve">amily </w:t>
      </w:r>
      <w:r w:rsidR="00421767" w:rsidRPr="00D910A1">
        <w:t>R</w:t>
      </w:r>
      <w:r w:rsidR="00B87A97" w:rsidRPr="00D910A1">
        <w:t xml:space="preserve">ights </w:t>
      </w:r>
      <w:r w:rsidR="00421767" w:rsidRPr="00D910A1">
        <w:t>G</w:t>
      </w:r>
      <w:r w:rsidR="00B87A97" w:rsidRPr="00D910A1">
        <w:t>roup</w:t>
      </w:r>
      <w:r w:rsidR="00421767" w:rsidRPr="00D910A1">
        <w:t xml:space="preserve">, CELCIS has </w:t>
      </w:r>
      <w:r w:rsidRPr="00D910A1">
        <w:t>developed and conducted</w:t>
      </w:r>
      <w:r w:rsidR="00421767" w:rsidRPr="00D910A1">
        <w:t xml:space="preserve"> the evaluation of the Lifelong Links model</w:t>
      </w:r>
      <w:r w:rsidRPr="00D910A1">
        <w:t xml:space="preserve"> in Scotland</w:t>
      </w:r>
      <w:r w:rsidR="00421767" w:rsidRPr="00D910A1">
        <w:t xml:space="preserve">. </w:t>
      </w:r>
    </w:p>
    <w:p w14:paraId="7E9863C8" w14:textId="331B08EE" w:rsidR="00C744BF" w:rsidRPr="00D910A1" w:rsidRDefault="00421767" w:rsidP="00497AE2">
      <w:r w:rsidRPr="00D910A1">
        <w:t>The Scottish evaluation of Lifelong Links is a five-year, mixed method longitudinal evaluation</w:t>
      </w:r>
      <w:r w:rsidR="00C84CB4" w:rsidRPr="00D910A1">
        <w:t xml:space="preserve"> running from </w:t>
      </w:r>
      <w:r w:rsidRPr="00D910A1">
        <w:t>2018</w:t>
      </w:r>
      <w:r w:rsidR="00C84CB4" w:rsidRPr="00D910A1">
        <w:t xml:space="preserve"> to </w:t>
      </w:r>
      <w:r w:rsidRPr="00D910A1">
        <w:t xml:space="preserve">2023. </w:t>
      </w:r>
      <w:r w:rsidR="00C84CB4" w:rsidRPr="00D910A1">
        <w:t xml:space="preserve">The evaluation </w:t>
      </w:r>
      <w:r w:rsidRPr="00D910A1">
        <w:t>uses</w:t>
      </w:r>
      <w:r w:rsidR="00C84CB4" w:rsidRPr="00D910A1">
        <w:t xml:space="preserve"> </w:t>
      </w:r>
      <w:r w:rsidR="00C744BF" w:rsidRPr="00D910A1">
        <w:t xml:space="preserve">two main types of data: </w:t>
      </w:r>
      <w:r w:rsidR="002F6365" w:rsidRPr="00D910A1">
        <w:t>‘child level data’ and ‘qualitative data’.</w:t>
      </w:r>
    </w:p>
    <w:p w14:paraId="6F9A25FE" w14:textId="2844E31E" w:rsidR="00421767" w:rsidRPr="00D910A1" w:rsidRDefault="00C744BF" w:rsidP="00497AE2">
      <w:r w:rsidRPr="00D910A1">
        <w:t>Through the collection and analysis of this data, we hope to find out:</w:t>
      </w:r>
    </w:p>
    <w:p w14:paraId="07B06861" w14:textId="77777777" w:rsidR="00421767" w:rsidRPr="00D910A1" w:rsidRDefault="00421767" w:rsidP="00497AE2">
      <w:pPr>
        <w:pStyle w:val="ListParagraph"/>
        <w:numPr>
          <w:ilvl w:val="0"/>
          <w:numId w:val="6"/>
        </w:numPr>
      </w:pPr>
      <w:r w:rsidRPr="00D910A1">
        <w:t>To what extent did Lifelong Links achieve the intended outcomes?</w:t>
      </w:r>
      <w:r w:rsidRPr="00D910A1">
        <w:tab/>
      </w:r>
    </w:p>
    <w:p w14:paraId="15A10252" w14:textId="28ABD581" w:rsidR="00421767" w:rsidRPr="00D910A1" w:rsidRDefault="00421767" w:rsidP="00497AE2">
      <w:pPr>
        <w:pStyle w:val="ListParagraph"/>
        <w:numPr>
          <w:ilvl w:val="0"/>
          <w:numId w:val="6"/>
        </w:numPr>
      </w:pPr>
      <w:r w:rsidRPr="00D910A1">
        <w:t xml:space="preserve">What </w:t>
      </w:r>
      <w:r w:rsidR="00C744BF" w:rsidRPr="00D910A1">
        <w:t>helped or hindered</w:t>
      </w:r>
      <w:r w:rsidRPr="00D910A1">
        <w:t xml:space="preserve"> the achievement of the</w:t>
      </w:r>
      <w:r w:rsidR="00C744BF" w:rsidRPr="00D910A1">
        <w:t>se</w:t>
      </w:r>
      <w:r w:rsidRPr="00D910A1">
        <w:t xml:space="preserve"> outcomes?</w:t>
      </w:r>
    </w:p>
    <w:p w14:paraId="5CE2B64A" w14:textId="43E2875F" w:rsidR="00421767" w:rsidRPr="00D910A1" w:rsidRDefault="00CB35C7" w:rsidP="00497AE2">
      <w:pPr>
        <w:pStyle w:val="ListParagraph"/>
        <w:numPr>
          <w:ilvl w:val="0"/>
          <w:numId w:val="6"/>
        </w:numPr>
      </w:pPr>
      <w:r w:rsidRPr="00D910A1">
        <w:t>How is Lifelong Links carried out and experienced by those involved</w:t>
      </w:r>
      <w:r w:rsidR="00421767" w:rsidRPr="00D910A1">
        <w:t>?</w:t>
      </w:r>
    </w:p>
    <w:p w14:paraId="00781F0F" w14:textId="3D18473B" w:rsidR="00421767" w:rsidRPr="00D910A1" w:rsidRDefault="00421767" w:rsidP="00497AE2">
      <w:pPr>
        <w:pStyle w:val="ListParagraph"/>
        <w:numPr>
          <w:ilvl w:val="0"/>
          <w:numId w:val="6"/>
        </w:numPr>
      </w:pPr>
      <w:r w:rsidRPr="00D910A1">
        <w:t xml:space="preserve">What </w:t>
      </w:r>
      <w:r w:rsidR="00CB35C7" w:rsidRPr="00D910A1">
        <w:t>helped or hindered the use</w:t>
      </w:r>
      <w:r w:rsidRPr="00D910A1">
        <w:t xml:space="preserve"> of </w:t>
      </w:r>
      <w:r w:rsidR="00CB35C7" w:rsidRPr="00D910A1">
        <w:t>Lifelong Links</w:t>
      </w:r>
      <w:r w:rsidRPr="00D910A1">
        <w:t xml:space="preserve"> in Scottish sites? </w:t>
      </w:r>
    </w:p>
    <w:p w14:paraId="7CD3CFB7" w14:textId="03EFDC0A" w:rsidR="00572C68" w:rsidRPr="00D910A1" w:rsidRDefault="00421767" w:rsidP="00497AE2">
      <w:pPr>
        <w:pStyle w:val="ListParagraph"/>
        <w:numPr>
          <w:ilvl w:val="0"/>
          <w:numId w:val="6"/>
        </w:numPr>
      </w:pPr>
      <w:r w:rsidRPr="00D910A1">
        <w:t>What enables or limits longer-term sustainability?</w:t>
      </w:r>
    </w:p>
    <w:p w14:paraId="23D929E6" w14:textId="25915AF3" w:rsidR="003423A2" w:rsidRPr="00C96E68" w:rsidRDefault="00C96E68" w:rsidP="003423A2">
      <w:r>
        <w:t>Through the course of the COVID-19 pandemic, we have had to change our data collection methods to make sure that we comply with all restrictions and prioritise the safety of children and young people, families</w:t>
      </w:r>
      <w:r w:rsidR="00427F58">
        <w:t>,</w:t>
      </w:r>
      <w:r>
        <w:t xml:space="preserve"> and staff taking part in Lifelong Links activities. Over the last year, we have been using telephone and virtual methods, such as Zoom and Microsoft Teams, to ensure we can continue to collect data for the evaluation. </w:t>
      </w:r>
    </w:p>
    <w:p w14:paraId="7D5F8F35" w14:textId="7B3D9E4F" w:rsidR="00421767" w:rsidRDefault="00787AF3" w:rsidP="00497AE2">
      <w:pPr>
        <w:pStyle w:val="Heading2"/>
      </w:pPr>
      <w:r>
        <w:rPr>
          <w:noProof/>
        </w:rPr>
        <w:lastRenderedPageBreak/>
        <w:drawing>
          <wp:inline distT="0" distB="0" distL="0" distR="0" wp14:anchorId="2EFDED94" wp14:editId="3C3031B2">
            <wp:extent cx="175260" cy="30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felong Links squiggle 40px.jpg"/>
                    <pic:cNvPicPr/>
                  </pic:nvPicPr>
                  <pic:blipFill>
                    <a:blip r:embed="rId8">
                      <a:extLst>
                        <a:ext uri="{28A0092B-C50C-407E-A947-70E740481C1C}">
                          <a14:useLocalDpi xmlns:a14="http://schemas.microsoft.com/office/drawing/2010/main" val="0"/>
                        </a:ext>
                      </a:extLst>
                    </a:blip>
                    <a:stretch>
                      <a:fillRect/>
                    </a:stretch>
                  </pic:blipFill>
                  <pic:spPr>
                    <a:xfrm>
                      <a:off x="0" y="0"/>
                      <a:ext cx="175260" cy="304800"/>
                    </a:xfrm>
                    <a:prstGeom prst="rect">
                      <a:avLst/>
                    </a:prstGeom>
                  </pic:spPr>
                </pic:pic>
              </a:graphicData>
            </a:graphic>
          </wp:inline>
        </w:drawing>
      </w:r>
      <w:r>
        <w:t xml:space="preserve"> </w:t>
      </w:r>
      <w:r w:rsidR="00C550A5">
        <w:t xml:space="preserve">What we have </w:t>
      </w:r>
      <w:r w:rsidR="003A6AAA">
        <w:t>learned about Lifelong Links and COVID-19</w:t>
      </w:r>
    </w:p>
    <w:p w14:paraId="109DE66A" w14:textId="02D258DD" w:rsidR="00B6231F" w:rsidRDefault="00A16AF9" w:rsidP="00840126">
      <w:r>
        <w:rPr>
          <w:noProof/>
        </w:rPr>
        <w:drawing>
          <wp:anchor distT="0" distB="0" distL="114300" distR="114300" simplePos="0" relativeHeight="251663360" behindDoc="1" locked="0" layoutInCell="1" allowOverlap="1" wp14:anchorId="5C9D0CA1" wp14:editId="301A7457">
            <wp:simplePos x="0" y="0"/>
            <wp:positionH relativeFrom="page">
              <wp:posOffset>548640</wp:posOffset>
            </wp:positionH>
            <wp:positionV relativeFrom="paragraph">
              <wp:posOffset>75565</wp:posOffset>
            </wp:positionV>
            <wp:extent cx="2804160" cy="3535680"/>
            <wp:effectExtent l="19050" t="0" r="53340" b="4572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2F6365" w:rsidRPr="00D910A1">
        <w:t xml:space="preserve">Since </w:t>
      </w:r>
      <w:r w:rsidR="000B557B" w:rsidRPr="00D910A1">
        <w:t>2020</w:t>
      </w:r>
      <w:r w:rsidR="002F6365" w:rsidRPr="00D910A1">
        <w:t>,</w:t>
      </w:r>
      <w:r w:rsidR="00B87A97" w:rsidRPr="00D910A1">
        <w:t xml:space="preserve"> </w:t>
      </w:r>
      <w:r w:rsidR="000B557B" w:rsidRPr="00D910A1">
        <w:t>we have undertaken more focus groups and interviews with Lifelong Links coordinators, Lifelong Links managers, foster carers</w:t>
      </w:r>
      <w:r w:rsidR="00427F58">
        <w:t>,</w:t>
      </w:r>
      <w:r w:rsidR="000B557B" w:rsidRPr="00D910A1">
        <w:t xml:space="preserve"> and one young person. </w:t>
      </w:r>
      <w:r w:rsidR="008E3684" w:rsidRPr="00D910A1">
        <w:t xml:space="preserve">Through gathering this data and hearing about people’s experiences, we have </w:t>
      </w:r>
      <w:r w:rsidR="002F6365" w:rsidRPr="00D910A1">
        <w:t xml:space="preserve">been </w:t>
      </w:r>
      <w:r w:rsidR="002F6365">
        <w:t xml:space="preserve">able to understand the impact of the COVID-19 </w:t>
      </w:r>
      <w:r w:rsidR="00427F58">
        <w:t>public health emergency</w:t>
      </w:r>
      <w:r w:rsidR="002F6365">
        <w:t xml:space="preserve"> on </w:t>
      </w:r>
      <w:r w:rsidR="00DD3FBB">
        <w:t>children, young people</w:t>
      </w:r>
      <w:r w:rsidR="00427F58">
        <w:t>,</w:t>
      </w:r>
      <w:r w:rsidR="00DD3FBB">
        <w:t xml:space="preserve"> and their families</w:t>
      </w:r>
      <w:r w:rsidR="000B557B">
        <w:t>. We have also been able to gain an insight into the ways that Lifelong Links practice adapted in the context of local and national restrictions</w:t>
      </w:r>
      <w:r w:rsidR="00DD3FBB">
        <w:t>.</w:t>
      </w:r>
    </w:p>
    <w:p w14:paraId="7D95A208" w14:textId="5AA7BD3F" w:rsidR="00A16AF9" w:rsidRDefault="00A9767E" w:rsidP="00840126">
      <w:r>
        <w:t xml:space="preserve">During the initial </w:t>
      </w:r>
      <w:r w:rsidR="00062270">
        <w:t>l</w:t>
      </w:r>
      <w:r>
        <w:t>ockdown</w:t>
      </w:r>
      <w:r w:rsidR="00DD3FBB">
        <w:t>, which began in March 2020</w:t>
      </w:r>
      <w:r w:rsidR="007830B4">
        <w:t>, local sites had to pause some of their Lifelong Links work so that staff members could be redeployed to help</w:t>
      </w:r>
      <w:r w:rsidR="00916DCC">
        <w:t xml:space="preserve"> deal with crises caused by the pandemic. </w:t>
      </w:r>
      <w:r w:rsidR="007D5DFF">
        <w:t>Since then, activities have</w:t>
      </w:r>
      <w:r w:rsidR="00916DCC">
        <w:t xml:space="preserve"> resumed in all </w:t>
      </w:r>
      <w:r w:rsidR="001F6C1F">
        <w:t xml:space="preserve">three local sites involved in the evaluation, adapting to the restrictions </w:t>
      </w:r>
    </w:p>
    <w:p w14:paraId="7B0746BE" w14:textId="77777777" w:rsidR="00A16AF9" w:rsidRDefault="00A16AF9" w:rsidP="00840126"/>
    <w:p w14:paraId="48734BA0" w14:textId="0C6EF753" w:rsidR="007D5DFF" w:rsidRDefault="001F6C1F" w:rsidP="00840126">
      <w:r>
        <w:t>placed on meeting people from other households.</w:t>
      </w:r>
      <w:r w:rsidR="00DD3FBB">
        <w:t xml:space="preserve"> </w:t>
      </w:r>
      <w:r w:rsidR="007D5DFF">
        <w:t>Now that</w:t>
      </w:r>
      <w:r w:rsidR="00DD3FBB">
        <w:t xml:space="preserve"> Lifelong Links</w:t>
      </w:r>
      <w:r w:rsidR="007D5DFF">
        <w:t xml:space="preserve"> activities have</w:t>
      </w:r>
      <w:r w:rsidR="00DD3FBB">
        <w:t xml:space="preserve"> resumed, </w:t>
      </w:r>
      <w:r w:rsidR="00C67F29">
        <w:t xml:space="preserve">workers </w:t>
      </w:r>
      <w:r w:rsidR="007D5DFF">
        <w:t xml:space="preserve">engage </w:t>
      </w:r>
      <w:r w:rsidR="00C67F29">
        <w:t xml:space="preserve">with children and young people online, using </w:t>
      </w:r>
      <w:r w:rsidR="00EF2103">
        <w:t>applications</w:t>
      </w:r>
      <w:r w:rsidR="00C67F29">
        <w:t xml:space="preserve"> such as Microsoft Teams and WhatsApp</w:t>
      </w:r>
      <w:r w:rsidR="00FC5D3C">
        <w:t>.</w:t>
      </w:r>
      <w:r w:rsidR="00C67F29">
        <w:t xml:space="preserve"> </w:t>
      </w:r>
      <w:r w:rsidR="00DD3FBB">
        <w:t xml:space="preserve">This is in contrast to the face-to-face, </w:t>
      </w:r>
      <w:r w:rsidR="007D5DFF">
        <w:t>hands-on</w:t>
      </w:r>
      <w:r w:rsidR="00DD3FBB">
        <w:t xml:space="preserve"> work that </w:t>
      </w:r>
      <w:r w:rsidR="007D5DFF">
        <w:t>children and young people usually do with Lifelong Links workers</w:t>
      </w:r>
      <w:r w:rsidR="00DD3FBB">
        <w:t xml:space="preserve">. </w:t>
      </w:r>
    </w:p>
    <w:p w14:paraId="5370917B" w14:textId="7910CA13" w:rsidR="006F72DB" w:rsidRDefault="00DD3FBB" w:rsidP="00840126">
      <w:r>
        <w:t xml:space="preserve">We know that the move to online working has </w:t>
      </w:r>
      <w:r w:rsidR="007D5DFF">
        <w:t>been challenging</w:t>
      </w:r>
      <w:r>
        <w:t xml:space="preserve"> </w:t>
      </w:r>
      <w:r w:rsidR="007D5DFF">
        <w:t>for everyone working with children and young people</w:t>
      </w:r>
      <w:r>
        <w:t xml:space="preserve">. For instance, </w:t>
      </w:r>
      <w:hyperlink r:id="rId16" w:history="1">
        <w:r w:rsidRPr="006F72DB">
          <w:rPr>
            <w:rStyle w:val="Hyperlink"/>
          </w:rPr>
          <w:t>research</w:t>
        </w:r>
      </w:hyperlink>
      <w:r>
        <w:t xml:space="preserve"> has highlighted that access to online tools varies substantially, with digital </w:t>
      </w:r>
      <w:r w:rsidR="006F72DB">
        <w:t>inequality</w:t>
      </w:r>
      <w:r>
        <w:t xml:space="preserve"> a serious problem throughout the pandemic. </w:t>
      </w:r>
      <w:r w:rsidR="006F72DB">
        <w:t>Staff members</w:t>
      </w:r>
      <w:r w:rsidR="006F72DB" w:rsidRPr="006F72DB">
        <w:t xml:space="preserve"> working in children’s services and young people themselves </w:t>
      </w:r>
      <w:r w:rsidR="0038291E">
        <w:t>may</w:t>
      </w:r>
      <w:r w:rsidR="006F72DB">
        <w:t xml:space="preserve"> have</w:t>
      </w:r>
      <w:r w:rsidR="006F72DB" w:rsidRPr="006F72DB">
        <w:t xml:space="preserve"> significant gaps in digital skills and literacy</w:t>
      </w:r>
      <w:r w:rsidR="006F72DB">
        <w:t>, with access to devices a particular problem for</w:t>
      </w:r>
      <w:r w:rsidR="00A16AF9">
        <w:t xml:space="preserve"> some</w:t>
      </w:r>
      <w:r w:rsidR="006F72DB">
        <w:t xml:space="preserve"> children and young people.</w:t>
      </w:r>
    </w:p>
    <w:p w14:paraId="507BE54C" w14:textId="5A23D71E" w:rsidR="00B50748" w:rsidRPr="00B50748" w:rsidRDefault="006F72DB" w:rsidP="00B50748">
      <w:r w:rsidRPr="00D910A1">
        <w:t>Below we have highlighted some initial insights that seem to be emerging from the data we have collected about the impact of the COVID-19 pandemic on Lifelong Links. These are by no means conclusive and are indications of topics which have been raised by participants.</w:t>
      </w:r>
      <w:r w:rsidR="00B50748">
        <w:tab/>
      </w:r>
    </w:p>
    <w:p w14:paraId="146A7211" w14:textId="736D906C" w:rsidR="00A16AF9" w:rsidRDefault="00A16AF9" w:rsidP="00A16AF9">
      <w:pPr>
        <w:jc w:val="center"/>
      </w:pPr>
      <w:r>
        <w:rPr>
          <w:noProof/>
        </w:rPr>
        <w:lastRenderedPageBreak/>
        <w:drawing>
          <wp:inline distT="0" distB="0" distL="0" distR="0" wp14:anchorId="7F08C62E" wp14:editId="72CF382B">
            <wp:extent cx="5875958" cy="649079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L info 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75958" cy="6490799"/>
                    </a:xfrm>
                    <a:prstGeom prst="rect">
                      <a:avLst/>
                    </a:prstGeom>
                  </pic:spPr>
                </pic:pic>
              </a:graphicData>
            </a:graphic>
          </wp:inline>
        </w:drawing>
      </w:r>
      <w:r>
        <w:br/>
      </w:r>
    </w:p>
    <w:p w14:paraId="7FE8C391" w14:textId="7F03FBF8" w:rsidR="00B6231F" w:rsidRDefault="00787AF3" w:rsidP="00497AE2">
      <w:pPr>
        <w:pStyle w:val="Heading2"/>
      </w:pPr>
      <w:r>
        <w:rPr>
          <w:noProof/>
        </w:rPr>
        <w:drawing>
          <wp:inline distT="0" distB="0" distL="0" distR="0" wp14:anchorId="1543D2D5" wp14:editId="0F31A7EE">
            <wp:extent cx="175260" cy="30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felong Links squiggle 40px.jpg"/>
                    <pic:cNvPicPr/>
                  </pic:nvPicPr>
                  <pic:blipFill>
                    <a:blip r:embed="rId8">
                      <a:extLst>
                        <a:ext uri="{28A0092B-C50C-407E-A947-70E740481C1C}">
                          <a14:useLocalDpi xmlns:a14="http://schemas.microsoft.com/office/drawing/2010/main" val="0"/>
                        </a:ext>
                      </a:extLst>
                    </a:blip>
                    <a:stretch>
                      <a:fillRect/>
                    </a:stretch>
                  </pic:blipFill>
                  <pic:spPr>
                    <a:xfrm>
                      <a:off x="0" y="0"/>
                      <a:ext cx="175260" cy="304800"/>
                    </a:xfrm>
                    <a:prstGeom prst="rect">
                      <a:avLst/>
                    </a:prstGeom>
                  </pic:spPr>
                </pic:pic>
              </a:graphicData>
            </a:graphic>
          </wp:inline>
        </w:drawing>
      </w:r>
      <w:r>
        <w:t xml:space="preserve"> </w:t>
      </w:r>
      <w:r w:rsidR="00EB76D5">
        <w:t>Looking ahead</w:t>
      </w:r>
    </w:p>
    <w:p w14:paraId="3E8B6008" w14:textId="4B14F13E" w:rsidR="003423A2" w:rsidRDefault="00E35441" w:rsidP="00497AE2">
      <w:r w:rsidRPr="00E35441">
        <w:t>The Lifelong Links evaluation will continue until March 2023, when CELCIS will publish their final project report.</w:t>
      </w:r>
      <w:r>
        <w:t xml:space="preserve"> It is likely that the COVID-19 pandemic will continue to inform the work of Lifelong Links teams and to feature in the data collected for the Scottish evaluation. The increase</w:t>
      </w:r>
      <w:r w:rsidR="003423A2">
        <w:t>d</w:t>
      </w:r>
      <w:r>
        <w:t xml:space="preserve"> pressure on social services, and the anticipated long-term impacts on the lives of children and young people, mean that we </w:t>
      </w:r>
      <w:r w:rsidR="00A16AF9">
        <w:t xml:space="preserve">may </w:t>
      </w:r>
      <w:r>
        <w:t>face challenges collecting some data</w:t>
      </w:r>
      <w:r w:rsidR="005B5D3D">
        <w:t>. Living through the pandemic has been a difficult experience for many people</w:t>
      </w:r>
      <w:r w:rsidR="003423A2">
        <w:t xml:space="preserve"> living</w:t>
      </w:r>
      <w:r w:rsidR="005B5D3D">
        <w:t xml:space="preserve"> across the world. </w:t>
      </w:r>
      <w:r w:rsidR="003423A2">
        <w:t>We expect to learn more about how the pandemic has impacted on</w:t>
      </w:r>
      <w:r w:rsidR="005B5D3D">
        <w:t xml:space="preserve"> referrals to Lifelong Links and the future outcomes of the trial. </w:t>
      </w:r>
    </w:p>
    <w:p w14:paraId="5FA8599F" w14:textId="7D77AAEA" w:rsidR="00A16AF9" w:rsidRDefault="00C96E68" w:rsidP="00497AE2">
      <w:r>
        <w:t xml:space="preserve">We anticipate that </w:t>
      </w:r>
      <w:r w:rsidR="00A16AF9">
        <w:t xml:space="preserve">there will be continued disruption to </w:t>
      </w:r>
      <w:r>
        <w:t xml:space="preserve">data collection for the evaluation </w:t>
      </w:r>
      <w:r w:rsidR="00A16AF9">
        <w:t>caused</w:t>
      </w:r>
      <w:r>
        <w:t xml:space="preserve"> by COVID-19 restrictions. While we look forward to resuming face-to-face data collection when it is safe to do so, in the meantime, we will continue to collect qualitative </w:t>
      </w:r>
      <w:r>
        <w:lastRenderedPageBreak/>
        <w:t xml:space="preserve">data using telephone and virtual methods. This will enable us to keep on learning about the impacts the Lifelong Links trial is having for children, young people and families in Scotland. </w:t>
      </w:r>
    </w:p>
    <w:p w14:paraId="3AC40B2C" w14:textId="77777777" w:rsidR="00A16AF9" w:rsidRDefault="00A16AF9" w:rsidP="00497AE2"/>
    <w:p w14:paraId="74362154" w14:textId="540543D7" w:rsidR="001B4253" w:rsidRPr="00E35441" w:rsidRDefault="00A16AF9" w:rsidP="00A16AF9">
      <w:pPr>
        <w:jc w:val="center"/>
        <w:rPr>
          <w:color w:val="00B050"/>
        </w:rPr>
      </w:pPr>
      <w:r>
        <w:rPr>
          <w:noProof/>
          <w:color w:val="00B050"/>
        </w:rPr>
        <w:drawing>
          <wp:inline distT="0" distB="0" distL="0" distR="0" wp14:anchorId="69087348" wp14:editId="73796B33">
            <wp:extent cx="5900210" cy="2814892"/>
            <wp:effectExtent l="0" t="0" r="571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L info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1745" cy="2829937"/>
                    </a:xfrm>
                    <a:prstGeom prst="rect">
                      <a:avLst/>
                    </a:prstGeom>
                  </pic:spPr>
                </pic:pic>
              </a:graphicData>
            </a:graphic>
          </wp:inline>
        </w:drawing>
      </w:r>
    </w:p>
    <w:p w14:paraId="47BB9834" w14:textId="630A7343" w:rsidR="00C550A5" w:rsidRPr="0007618F" w:rsidRDefault="001B4253" w:rsidP="0007618F">
      <w:r>
        <w:rPr>
          <w:noProof/>
        </w:rPr>
        <w:drawing>
          <wp:anchor distT="0" distB="0" distL="114300" distR="114300" simplePos="0" relativeHeight="251658240" behindDoc="0" locked="0" layoutInCell="1" allowOverlap="1" wp14:anchorId="5DD291D2" wp14:editId="03BFFD8A">
            <wp:simplePos x="0" y="0"/>
            <wp:positionH relativeFrom="page">
              <wp:align>left</wp:align>
            </wp:positionH>
            <wp:positionV relativeFrom="paragraph">
              <wp:posOffset>4288790</wp:posOffset>
            </wp:positionV>
            <wp:extent cx="7519035" cy="181864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felong links back pag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19035" cy="1818640"/>
                    </a:xfrm>
                    <a:prstGeom prst="rect">
                      <a:avLst/>
                    </a:prstGeom>
                  </pic:spPr>
                </pic:pic>
              </a:graphicData>
            </a:graphic>
            <wp14:sizeRelH relativeFrom="page">
              <wp14:pctWidth>0</wp14:pctWidth>
            </wp14:sizeRelH>
            <wp14:sizeRelV relativeFrom="page">
              <wp14:pctHeight>0</wp14:pctHeight>
            </wp14:sizeRelV>
          </wp:anchor>
        </w:drawing>
      </w:r>
    </w:p>
    <w:sectPr w:rsidR="00C550A5" w:rsidRPr="0007618F" w:rsidSect="00A16AF9">
      <w:headerReference w:type="even" r:id="rId20"/>
      <w:headerReference w:type="default" r:id="rId21"/>
      <w:footerReference w:type="even" r:id="rId22"/>
      <w:footerReference w:type="default" r:id="rId23"/>
      <w:headerReference w:type="first" r:id="rId24"/>
      <w:footerReference w:type="first" r:id="rId25"/>
      <w:pgSz w:w="11906" w:h="16838"/>
      <w:pgMar w:top="992" w:right="851" w:bottom="0" w:left="851" w:header="709" w:footer="56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8632D" w16cex:dateUtc="2021-07-01T1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54A506" w16cid:durableId="2488632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4C78C" w14:textId="77777777" w:rsidR="005F643A" w:rsidRDefault="005F643A" w:rsidP="00497AE2">
      <w:r>
        <w:separator/>
      </w:r>
    </w:p>
  </w:endnote>
  <w:endnote w:type="continuationSeparator" w:id="0">
    <w:p w14:paraId="0C728876" w14:textId="77777777" w:rsidR="005F643A" w:rsidRDefault="005F643A" w:rsidP="00497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331D9" w14:textId="77777777" w:rsidR="00600CC8" w:rsidRDefault="00600C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7A94" w14:textId="77777777" w:rsidR="00600CC8" w:rsidRDefault="00600C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DB2C6" w14:textId="77777777" w:rsidR="00600CC8" w:rsidRDefault="00600C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4286A" w14:textId="77777777" w:rsidR="005F643A" w:rsidRDefault="005F643A" w:rsidP="00497AE2">
      <w:r>
        <w:separator/>
      </w:r>
    </w:p>
  </w:footnote>
  <w:footnote w:type="continuationSeparator" w:id="0">
    <w:p w14:paraId="342A28BC" w14:textId="77777777" w:rsidR="005F643A" w:rsidRDefault="005F643A" w:rsidP="00497A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2FBED" w14:textId="77777777" w:rsidR="00600CC8" w:rsidRDefault="00600C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95A6A" w14:textId="77777777" w:rsidR="00600CC8" w:rsidRDefault="00600C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6CCBC" w14:textId="62313154" w:rsidR="00497AE2" w:rsidRDefault="00497AE2" w:rsidP="00497AE2">
    <w:pPr>
      <w:pStyle w:val="Header"/>
    </w:pPr>
    <w:bookmarkStart w:id="0" w:name="_GoBack"/>
    <w:r>
      <w:rPr>
        <w:noProof/>
      </w:rPr>
      <w:drawing>
        <wp:anchor distT="0" distB="0" distL="114300" distR="114300" simplePos="0" relativeHeight="251659264" behindDoc="0" locked="0" layoutInCell="1" allowOverlap="1" wp14:anchorId="1ECEAF6B" wp14:editId="3AB27590">
          <wp:simplePos x="0" y="0"/>
          <wp:positionH relativeFrom="page">
            <wp:posOffset>16510</wp:posOffset>
          </wp:positionH>
          <wp:positionV relativeFrom="paragraph">
            <wp:posOffset>-483870</wp:posOffset>
          </wp:positionV>
          <wp:extent cx="7516495" cy="1818005"/>
          <wp:effectExtent l="0" t="0" r="825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felong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6495" cy="1818005"/>
                  </a:xfrm>
                  <a:prstGeom prst="rect">
                    <a:avLst/>
                  </a:prstGeom>
                </pic:spPr>
              </pic:pic>
            </a:graphicData>
          </a:graphic>
          <wp14:sizeRelH relativeFrom="page">
            <wp14:pctWidth>0</wp14:pctWidth>
          </wp14:sizeRelH>
          <wp14:sizeRelV relativeFrom="page">
            <wp14:pctHeight>0</wp14:pctHeight>
          </wp14:sizeRelV>
        </wp:anchor>
      </w:drawing>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65489"/>
    <w:multiLevelType w:val="hybridMultilevel"/>
    <w:tmpl w:val="4D8698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8D5D27"/>
    <w:multiLevelType w:val="hybridMultilevel"/>
    <w:tmpl w:val="F306F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41695"/>
    <w:multiLevelType w:val="hybridMultilevel"/>
    <w:tmpl w:val="9BB616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DE5CAB"/>
    <w:multiLevelType w:val="hybridMultilevel"/>
    <w:tmpl w:val="9C5E2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3428CD"/>
    <w:multiLevelType w:val="hybridMultilevel"/>
    <w:tmpl w:val="D75A4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7091F85"/>
    <w:multiLevelType w:val="multilevel"/>
    <w:tmpl w:val="F0267E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C4E1A35"/>
    <w:multiLevelType w:val="hybridMultilevel"/>
    <w:tmpl w:val="2F9CC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9D5333"/>
    <w:multiLevelType w:val="hybridMultilevel"/>
    <w:tmpl w:val="0C0C86C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536418D"/>
    <w:multiLevelType w:val="hybridMultilevel"/>
    <w:tmpl w:val="21A8A8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EF940E3"/>
    <w:multiLevelType w:val="hybridMultilevel"/>
    <w:tmpl w:val="02FCC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48800FD"/>
    <w:multiLevelType w:val="hybridMultilevel"/>
    <w:tmpl w:val="4D6C8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D5354E3"/>
    <w:multiLevelType w:val="hybridMultilevel"/>
    <w:tmpl w:val="C0700F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E8C479E"/>
    <w:multiLevelType w:val="hybridMultilevel"/>
    <w:tmpl w:val="39BA14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2FA32F8"/>
    <w:multiLevelType w:val="hybridMultilevel"/>
    <w:tmpl w:val="11AA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3734F15"/>
    <w:multiLevelType w:val="hybridMultilevel"/>
    <w:tmpl w:val="26F4A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42C1A1A"/>
    <w:multiLevelType w:val="hybridMultilevel"/>
    <w:tmpl w:val="213AF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5033A33"/>
    <w:multiLevelType w:val="hybridMultilevel"/>
    <w:tmpl w:val="00CAA0E8"/>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8A0626"/>
    <w:multiLevelType w:val="hybridMultilevel"/>
    <w:tmpl w:val="0E7CE5B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DD521A0"/>
    <w:multiLevelType w:val="hybridMultilevel"/>
    <w:tmpl w:val="2D28C4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
  </w:num>
  <w:num w:numId="4">
    <w:abstractNumId w:val="14"/>
  </w:num>
  <w:num w:numId="5">
    <w:abstractNumId w:val="8"/>
  </w:num>
  <w:num w:numId="6">
    <w:abstractNumId w:val="16"/>
  </w:num>
  <w:num w:numId="7">
    <w:abstractNumId w:val="11"/>
  </w:num>
  <w:num w:numId="8">
    <w:abstractNumId w:val="13"/>
  </w:num>
  <w:num w:numId="9">
    <w:abstractNumId w:val="9"/>
  </w:num>
  <w:num w:numId="10">
    <w:abstractNumId w:val="2"/>
  </w:num>
  <w:num w:numId="11">
    <w:abstractNumId w:val="15"/>
  </w:num>
  <w:num w:numId="12">
    <w:abstractNumId w:val="0"/>
  </w:num>
  <w:num w:numId="13">
    <w:abstractNumId w:val="10"/>
  </w:num>
  <w:num w:numId="14">
    <w:abstractNumId w:val="17"/>
  </w:num>
  <w:num w:numId="15">
    <w:abstractNumId w:val="12"/>
  </w:num>
  <w:num w:numId="16">
    <w:abstractNumId w:val="18"/>
  </w:num>
  <w:num w:numId="17">
    <w:abstractNumId w:val="6"/>
  </w:num>
  <w:num w:numId="18">
    <w:abstractNumId w:val="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215"/>
    <w:rsid w:val="00003A98"/>
    <w:rsid w:val="00013A45"/>
    <w:rsid w:val="00025574"/>
    <w:rsid w:val="00030B28"/>
    <w:rsid w:val="000328DD"/>
    <w:rsid w:val="00037E14"/>
    <w:rsid w:val="000437E8"/>
    <w:rsid w:val="00044451"/>
    <w:rsid w:val="00045C30"/>
    <w:rsid w:val="00062270"/>
    <w:rsid w:val="0007618F"/>
    <w:rsid w:val="000A6C34"/>
    <w:rsid w:val="000B3C36"/>
    <w:rsid w:val="000B557B"/>
    <w:rsid w:val="000B70BF"/>
    <w:rsid w:val="000C38DF"/>
    <w:rsid w:val="000C5860"/>
    <w:rsid w:val="000C5AC3"/>
    <w:rsid w:val="000F7618"/>
    <w:rsid w:val="00101E12"/>
    <w:rsid w:val="00104B9B"/>
    <w:rsid w:val="001137DD"/>
    <w:rsid w:val="00116CE4"/>
    <w:rsid w:val="001267A9"/>
    <w:rsid w:val="0013147D"/>
    <w:rsid w:val="00150DEF"/>
    <w:rsid w:val="00150F4C"/>
    <w:rsid w:val="001579E6"/>
    <w:rsid w:val="00160001"/>
    <w:rsid w:val="00172125"/>
    <w:rsid w:val="00185181"/>
    <w:rsid w:val="00187320"/>
    <w:rsid w:val="001A0C6E"/>
    <w:rsid w:val="001A2CD9"/>
    <w:rsid w:val="001B4253"/>
    <w:rsid w:val="001B7C6D"/>
    <w:rsid w:val="001E231F"/>
    <w:rsid w:val="001E2C7C"/>
    <w:rsid w:val="001F46BF"/>
    <w:rsid w:val="001F6C1F"/>
    <w:rsid w:val="00211D71"/>
    <w:rsid w:val="00212BDF"/>
    <w:rsid w:val="002408E5"/>
    <w:rsid w:val="002626F5"/>
    <w:rsid w:val="0026720D"/>
    <w:rsid w:val="00287570"/>
    <w:rsid w:val="00287B11"/>
    <w:rsid w:val="002907F2"/>
    <w:rsid w:val="002908F8"/>
    <w:rsid w:val="00295DE7"/>
    <w:rsid w:val="002B1CB2"/>
    <w:rsid w:val="002C2248"/>
    <w:rsid w:val="002C3ABD"/>
    <w:rsid w:val="002D2A1E"/>
    <w:rsid w:val="002E490E"/>
    <w:rsid w:val="002F4B0B"/>
    <w:rsid w:val="002F6365"/>
    <w:rsid w:val="00314BA9"/>
    <w:rsid w:val="00321F56"/>
    <w:rsid w:val="003314FA"/>
    <w:rsid w:val="003423A2"/>
    <w:rsid w:val="003427B3"/>
    <w:rsid w:val="00345777"/>
    <w:rsid w:val="00353886"/>
    <w:rsid w:val="00357451"/>
    <w:rsid w:val="00363602"/>
    <w:rsid w:val="003828FB"/>
    <w:rsid w:val="0038291E"/>
    <w:rsid w:val="003A6AAA"/>
    <w:rsid w:val="003B294A"/>
    <w:rsid w:val="003E0456"/>
    <w:rsid w:val="003E747C"/>
    <w:rsid w:val="003F0C23"/>
    <w:rsid w:val="003F1AFC"/>
    <w:rsid w:val="003F2139"/>
    <w:rsid w:val="003F4D92"/>
    <w:rsid w:val="003F528E"/>
    <w:rsid w:val="00403240"/>
    <w:rsid w:val="0041021F"/>
    <w:rsid w:val="00412747"/>
    <w:rsid w:val="00413681"/>
    <w:rsid w:val="00413E61"/>
    <w:rsid w:val="00421767"/>
    <w:rsid w:val="00426A74"/>
    <w:rsid w:val="00427F58"/>
    <w:rsid w:val="0045422E"/>
    <w:rsid w:val="0047382F"/>
    <w:rsid w:val="0048726D"/>
    <w:rsid w:val="004930AE"/>
    <w:rsid w:val="00494382"/>
    <w:rsid w:val="00497AE2"/>
    <w:rsid w:val="004C6DA9"/>
    <w:rsid w:val="004E652D"/>
    <w:rsid w:val="00516E39"/>
    <w:rsid w:val="00533DAB"/>
    <w:rsid w:val="005378D4"/>
    <w:rsid w:val="00543717"/>
    <w:rsid w:val="005446D7"/>
    <w:rsid w:val="00545BBF"/>
    <w:rsid w:val="00557857"/>
    <w:rsid w:val="00561353"/>
    <w:rsid w:val="005706D4"/>
    <w:rsid w:val="00572C68"/>
    <w:rsid w:val="00581BDE"/>
    <w:rsid w:val="00582DDE"/>
    <w:rsid w:val="005B5D3D"/>
    <w:rsid w:val="005B5E2D"/>
    <w:rsid w:val="005B690B"/>
    <w:rsid w:val="005C58A1"/>
    <w:rsid w:val="005D1DE7"/>
    <w:rsid w:val="005E54FB"/>
    <w:rsid w:val="005F643A"/>
    <w:rsid w:val="005F7F9C"/>
    <w:rsid w:val="00600CC8"/>
    <w:rsid w:val="00601E00"/>
    <w:rsid w:val="00603372"/>
    <w:rsid w:val="00604E52"/>
    <w:rsid w:val="00627619"/>
    <w:rsid w:val="006352CE"/>
    <w:rsid w:val="00651357"/>
    <w:rsid w:val="006538C1"/>
    <w:rsid w:val="00653995"/>
    <w:rsid w:val="006715A4"/>
    <w:rsid w:val="00682141"/>
    <w:rsid w:val="00687691"/>
    <w:rsid w:val="00692412"/>
    <w:rsid w:val="00693E51"/>
    <w:rsid w:val="006A5D70"/>
    <w:rsid w:val="006B1D3C"/>
    <w:rsid w:val="006C68D1"/>
    <w:rsid w:val="006D4F3F"/>
    <w:rsid w:val="006D7EAE"/>
    <w:rsid w:val="006F72DB"/>
    <w:rsid w:val="00707B35"/>
    <w:rsid w:val="00720F97"/>
    <w:rsid w:val="00724243"/>
    <w:rsid w:val="007257A2"/>
    <w:rsid w:val="0075074E"/>
    <w:rsid w:val="00754156"/>
    <w:rsid w:val="007574BD"/>
    <w:rsid w:val="00760E6A"/>
    <w:rsid w:val="007830B4"/>
    <w:rsid w:val="00787AF3"/>
    <w:rsid w:val="007A6284"/>
    <w:rsid w:val="007A70AE"/>
    <w:rsid w:val="007D5DFF"/>
    <w:rsid w:val="007F0597"/>
    <w:rsid w:val="007F582E"/>
    <w:rsid w:val="00805327"/>
    <w:rsid w:val="00826875"/>
    <w:rsid w:val="0083125C"/>
    <w:rsid w:val="00840126"/>
    <w:rsid w:val="008413C8"/>
    <w:rsid w:val="00864ADA"/>
    <w:rsid w:val="00883FC9"/>
    <w:rsid w:val="008901CB"/>
    <w:rsid w:val="00893672"/>
    <w:rsid w:val="00896588"/>
    <w:rsid w:val="008A6A5A"/>
    <w:rsid w:val="008B1104"/>
    <w:rsid w:val="008B1617"/>
    <w:rsid w:val="008D0AD7"/>
    <w:rsid w:val="008E3684"/>
    <w:rsid w:val="008F73F2"/>
    <w:rsid w:val="008F7B14"/>
    <w:rsid w:val="00907F8F"/>
    <w:rsid w:val="009161AF"/>
    <w:rsid w:val="00916DCC"/>
    <w:rsid w:val="00952D88"/>
    <w:rsid w:val="00957C68"/>
    <w:rsid w:val="0097511D"/>
    <w:rsid w:val="0097596A"/>
    <w:rsid w:val="00987C0C"/>
    <w:rsid w:val="009B537B"/>
    <w:rsid w:val="009B680D"/>
    <w:rsid w:val="009D6497"/>
    <w:rsid w:val="009D6F21"/>
    <w:rsid w:val="009E0053"/>
    <w:rsid w:val="009F6838"/>
    <w:rsid w:val="00A02A32"/>
    <w:rsid w:val="00A16AF9"/>
    <w:rsid w:val="00A25514"/>
    <w:rsid w:val="00A3164F"/>
    <w:rsid w:val="00A42ED8"/>
    <w:rsid w:val="00A42F26"/>
    <w:rsid w:val="00A43798"/>
    <w:rsid w:val="00A8672A"/>
    <w:rsid w:val="00A95D0A"/>
    <w:rsid w:val="00A9767E"/>
    <w:rsid w:val="00AB4118"/>
    <w:rsid w:val="00AE115D"/>
    <w:rsid w:val="00B02729"/>
    <w:rsid w:val="00B065E0"/>
    <w:rsid w:val="00B317CB"/>
    <w:rsid w:val="00B41FBF"/>
    <w:rsid w:val="00B44D17"/>
    <w:rsid w:val="00B46B26"/>
    <w:rsid w:val="00B50748"/>
    <w:rsid w:val="00B50C2B"/>
    <w:rsid w:val="00B55520"/>
    <w:rsid w:val="00B6231F"/>
    <w:rsid w:val="00B63154"/>
    <w:rsid w:val="00B832CE"/>
    <w:rsid w:val="00B87A97"/>
    <w:rsid w:val="00B9219B"/>
    <w:rsid w:val="00B94BB1"/>
    <w:rsid w:val="00BA3215"/>
    <w:rsid w:val="00BB2D0C"/>
    <w:rsid w:val="00BB337A"/>
    <w:rsid w:val="00BB3BDF"/>
    <w:rsid w:val="00BC01B0"/>
    <w:rsid w:val="00BD1FEB"/>
    <w:rsid w:val="00BE3625"/>
    <w:rsid w:val="00BF3E36"/>
    <w:rsid w:val="00C0088D"/>
    <w:rsid w:val="00C03906"/>
    <w:rsid w:val="00C046BF"/>
    <w:rsid w:val="00C116CF"/>
    <w:rsid w:val="00C20354"/>
    <w:rsid w:val="00C47913"/>
    <w:rsid w:val="00C550A5"/>
    <w:rsid w:val="00C56E35"/>
    <w:rsid w:val="00C67461"/>
    <w:rsid w:val="00C67F29"/>
    <w:rsid w:val="00C70D94"/>
    <w:rsid w:val="00C72644"/>
    <w:rsid w:val="00C744BF"/>
    <w:rsid w:val="00C80017"/>
    <w:rsid w:val="00C84CB4"/>
    <w:rsid w:val="00C91A92"/>
    <w:rsid w:val="00C96E68"/>
    <w:rsid w:val="00CA1599"/>
    <w:rsid w:val="00CA16DA"/>
    <w:rsid w:val="00CB35C7"/>
    <w:rsid w:val="00CD4707"/>
    <w:rsid w:val="00CE0D7F"/>
    <w:rsid w:val="00D067DA"/>
    <w:rsid w:val="00D07AC1"/>
    <w:rsid w:val="00D15EA8"/>
    <w:rsid w:val="00D1657C"/>
    <w:rsid w:val="00D21821"/>
    <w:rsid w:val="00D5481C"/>
    <w:rsid w:val="00D54910"/>
    <w:rsid w:val="00D747A7"/>
    <w:rsid w:val="00D843F2"/>
    <w:rsid w:val="00D84544"/>
    <w:rsid w:val="00D910A1"/>
    <w:rsid w:val="00D93FEA"/>
    <w:rsid w:val="00D95792"/>
    <w:rsid w:val="00DA7645"/>
    <w:rsid w:val="00DB7C05"/>
    <w:rsid w:val="00DD3FBB"/>
    <w:rsid w:val="00E066E3"/>
    <w:rsid w:val="00E13E37"/>
    <w:rsid w:val="00E14967"/>
    <w:rsid w:val="00E212CA"/>
    <w:rsid w:val="00E276FE"/>
    <w:rsid w:val="00E33A87"/>
    <w:rsid w:val="00E35441"/>
    <w:rsid w:val="00E72DBF"/>
    <w:rsid w:val="00E732C0"/>
    <w:rsid w:val="00E80B15"/>
    <w:rsid w:val="00E81A8E"/>
    <w:rsid w:val="00E936EB"/>
    <w:rsid w:val="00EA1AE2"/>
    <w:rsid w:val="00EA1B02"/>
    <w:rsid w:val="00EB0D12"/>
    <w:rsid w:val="00EB1839"/>
    <w:rsid w:val="00EB76D5"/>
    <w:rsid w:val="00EE2407"/>
    <w:rsid w:val="00EF1091"/>
    <w:rsid w:val="00EF2103"/>
    <w:rsid w:val="00F02489"/>
    <w:rsid w:val="00F05C53"/>
    <w:rsid w:val="00F1083B"/>
    <w:rsid w:val="00F16BC7"/>
    <w:rsid w:val="00F249DB"/>
    <w:rsid w:val="00F31ED7"/>
    <w:rsid w:val="00F50813"/>
    <w:rsid w:val="00F5093C"/>
    <w:rsid w:val="00F61679"/>
    <w:rsid w:val="00F82767"/>
    <w:rsid w:val="00F92E71"/>
    <w:rsid w:val="00FA0B54"/>
    <w:rsid w:val="00FB1680"/>
    <w:rsid w:val="00FB76B6"/>
    <w:rsid w:val="00FC5D3C"/>
    <w:rsid w:val="00FE48A1"/>
    <w:rsid w:val="00FE6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F0AB00"/>
  <w15:chartTrackingRefBased/>
  <w15:docId w15:val="{70AD5B6F-ABF1-434A-968E-2101B3B9A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AE2"/>
    <w:pPr>
      <w:spacing w:line="276" w:lineRule="auto"/>
    </w:pPr>
    <w:rPr>
      <w:rFonts w:ascii="Verdana" w:hAnsi="Verdana"/>
    </w:rPr>
  </w:style>
  <w:style w:type="paragraph" w:styleId="Heading1">
    <w:name w:val="heading 1"/>
    <w:basedOn w:val="Normal"/>
    <w:next w:val="Normal"/>
    <w:link w:val="Heading1Char"/>
    <w:uiPriority w:val="9"/>
    <w:qFormat/>
    <w:rsid w:val="00E732C0"/>
    <w:pPr>
      <w:keepNext/>
      <w:keepLines/>
      <w:spacing w:before="240" w:after="240"/>
      <w:outlineLvl w:val="0"/>
    </w:pPr>
    <w:rPr>
      <w:rFonts w:eastAsiaTheme="majorEastAsia" w:cstheme="majorBidi"/>
      <w:b/>
      <w:color w:val="004AAD"/>
      <w:sz w:val="32"/>
      <w:szCs w:val="32"/>
    </w:rPr>
  </w:style>
  <w:style w:type="paragraph" w:styleId="Heading2">
    <w:name w:val="heading 2"/>
    <w:basedOn w:val="Normal"/>
    <w:next w:val="Normal"/>
    <w:link w:val="Heading2Char"/>
    <w:uiPriority w:val="9"/>
    <w:unhideWhenUsed/>
    <w:qFormat/>
    <w:rsid w:val="00E732C0"/>
    <w:pPr>
      <w:keepNext/>
      <w:keepLines/>
      <w:spacing w:before="40" w:after="120"/>
      <w:outlineLvl w:val="1"/>
    </w:pPr>
    <w:rPr>
      <w:rFonts w:eastAsiaTheme="majorEastAsia" w:cstheme="majorBidi"/>
      <w:b/>
      <w:color w:val="004AAD"/>
      <w:sz w:val="26"/>
      <w:szCs w:val="26"/>
    </w:rPr>
  </w:style>
  <w:style w:type="paragraph" w:styleId="Heading3">
    <w:name w:val="heading 3"/>
    <w:basedOn w:val="Normal"/>
    <w:next w:val="Normal"/>
    <w:link w:val="Heading3Char"/>
    <w:uiPriority w:val="9"/>
    <w:unhideWhenUsed/>
    <w:qFormat/>
    <w:rsid w:val="00BA3215"/>
    <w:pPr>
      <w:keepNext/>
      <w:keepLines/>
      <w:spacing w:before="40" w:after="0"/>
      <w:outlineLvl w:val="2"/>
    </w:pPr>
    <w:rPr>
      <w:rFonts w:eastAsiaTheme="majorEastAsia" w:cstheme="majorBidi"/>
      <w:b/>
      <w:color w:val="5B9BD5" w:themeColor="accent1"/>
      <w:sz w:val="24"/>
      <w:szCs w:val="24"/>
    </w:rPr>
  </w:style>
  <w:style w:type="paragraph" w:styleId="Heading4">
    <w:name w:val="heading 4"/>
    <w:basedOn w:val="Normal"/>
    <w:next w:val="Normal"/>
    <w:link w:val="Heading4Char"/>
    <w:uiPriority w:val="9"/>
    <w:unhideWhenUsed/>
    <w:qFormat/>
    <w:rsid w:val="007A70AE"/>
    <w:pPr>
      <w:keepNext/>
      <w:keepLines/>
      <w:spacing w:before="40" w:after="0"/>
      <w:outlineLvl w:val="3"/>
    </w:pPr>
    <w:rPr>
      <w:rFonts w:eastAsiaTheme="majorEastAsia" w:cstheme="majorBidi"/>
      <w:i/>
      <w:iCs/>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2C0"/>
    <w:rPr>
      <w:rFonts w:ascii="Verdana" w:eastAsiaTheme="majorEastAsia" w:hAnsi="Verdana" w:cstheme="majorBidi"/>
      <w:b/>
      <w:color w:val="004AAD"/>
      <w:sz w:val="32"/>
      <w:szCs w:val="32"/>
    </w:rPr>
  </w:style>
  <w:style w:type="character" w:customStyle="1" w:styleId="Heading2Char">
    <w:name w:val="Heading 2 Char"/>
    <w:basedOn w:val="DefaultParagraphFont"/>
    <w:link w:val="Heading2"/>
    <w:uiPriority w:val="9"/>
    <w:rsid w:val="00E732C0"/>
    <w:rPr>
      <w:rFonts w:ascii="Verdana" w:eastAsiaTheme="majorEastAsia" w:hAnsi="Verdana" w:cstheme="majorBidi"/>
      <w:b/>
      <w:color w:val="004AAD"/>
      <w:sz w:val="26"/>
      <w:szCs w:val="26"/>
    </w:rPr>
  </w:style>
  <w:style w:type="character" w:customStyle="1" w:styleId="Heading3Char">
    <w:name w:val="Heading 3 Char"/>
    <w:basedOn w:val="DefaultParagraphFont"/>
    <w:link w:val="Heading3"/>
    <w:uiPriority w:val="9"/>
    <w:rsid w:val="00BA3215"/>
    <w:rPr>
      <w:rFonts w:ascii="Verdana" w:eastAsiaTheme="majorEastAsia" w:hAnsi="Verdana" w:cstheme="majorBidi"/>
      <w:b/>
      <w:color w:val="5B9BD5" w:themeColor="accent1"/>
      <w:sz w:val="24"/>
      <w:szCs w:val="24"/>
    </w:rPr>
  </w:style>
  <w:style w:type="character" w:customStyle="1" w:styleId="Heading4Char">
    <w:name w:val="Heading 4 Char"/>
    <w:basedOn w:val="DefaultParagraphFont"/>
    <w:link w:val="Heading4"/>
    <w:uiPriority w:val="9"/>
    <w:rsid w:val="007A70AE"/>
    <w:rPr>
      <w:rFonts w:ascii="Verdana" w:eastAsiaTheme="majorEastAsia" w:hAnsi="Verdana" w:cstheme="majorBidi"/>
      <w:i/>
      <w:iCs/>
      <w:color w:val="2E74B5" w:themeColor="accent1" w:themeShade="BF"/>
      <w:sz w:val="24"/>
    </w:rPr>
  </w:style>
  <w:style w:type="paragraph" w:styleId="Title">
    <w:name w:val="Title"/>
    <w:basedOn w:val="Normal"/>
    <w:next w:val="Normal"/>
    <w:link w:val="TitleChar"/>
    <w:uiPriority w:val="10"/>
    <w:qFormat/>
    <w:rsid w:val="00BA3215"/>
    <w:pPr>
      <w:spacing w:after="0" w:line="240" w:lineRule="auto"/>
      <w:contextualSpacing/>
    </w:pPr>
    <w:rPr>
      <w:rFonts w:eastAsiaTheme="majorEastAsia" w:cstheme="majorBidi"/>
      <w:color w:val="323E4F" w:themeColor="text2" w:themeShade="BF"/>
      <w:spacing w:val="-10"/>
      <w:kern w:val="28"/>
      <w:sz w:val="52"/>
      <w:szCs w:val="56"/>
    </w:rPr>
  </w:style>
  <w:style w:type="character" w:customStyle="1" w:styleId="TitleChar">
    <w:name w:val="Title Char"/>
    <w:basedOn w:val="DefaultParagraphFont"/>
    <w:link w:val="Title"/>
    <w:uiPriority w:val="10"/>
    <w:rsid w:val="00BA3215"/>
    <w:rPr>
      <w:rFonts w:ascii="Verdana" w:eastAsiaTheme="majorEastAsia" w:hAnsi="Verdana" w:cstheme="majorBidi"/>
      <w:color w:val="323E4F" w:themeColor="text2" w:themeShade="BF"/>
      <w:spacing w:val="-10"/>
      <w:kern w:val="28"/>
      <w:sz w:val="52"/>
      <w:szCs w:val="56"/>
    </w:rPr>
  </w:style>
  <w:style w:type="paragraph" w:styleId="ListParagraph">
    <w:name w:val="List Paragraph"/>
    <w:basedOn w:val="Normal"/>
    <w:uiPriority w:val="34"/>
    <w:qFormat/>
    <w:rsid w:val="00603372"/>
    <w:pPr>
      <w:ind w:left="720"/>
      <w:contextualSpacing/>
    </w:pPr>
  </w:style>
  <w:style w:type="paragraph" w:styleId="BalloonText">
    <w:name w:val="Balloon Text"/>
    <w:basedOn w:val="Normal"/>
    <w:link w:val="BalloonTextChar"/>
    <w:uiPriority w:val="99"/>
    <w:semiHidden/>
    <w:unhideWhenUsed/>
    <w:rsid w:val="00572C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C68"/>
    <w:rPr>
      <w:rFonts w:ascii="Segoe UI" w:hAnsi="Segoe UI" w:cs="Segoe UI"/>
      <w:sz w:val="18"/>
      <w:szCs w:val="18"/>
    </w:rPr>
  </w:style>
  <w:style w:type="paragraph" w:styleId="Header">
    <w:name w:val="header"/>
    <w:basedOn w:val="Normal"/>
    <w:link w:val="HeaderChar"/>
    <w:uiPriority w:val="99"/>
    <w:unhideWhenUsed/>
    <w:rsid w:val="00E732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2C0"/>
    <w:rPr>
      <w:rFonts w:ascii="Verdana" w:hAnsi="Verdana"/>
    </w:rPr>
  </w:style>
  <w:style w:type="paragraph" w:styleId="Footer">
    <w:name w:val="footer"/>
    <w:basedOn w:val="Normal"/>
    <w:link w:val="FooterChar"/>
    <w:uiPriority w:val="99"/>
    <w:unhideWhenUsed/>
    <w:rsid w:val="00E732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2C0"/>
    <w:rPr>
      <w:rFonts w:ascii="Verdana" w:hAnsi="Verdana"/>
    </w:rPr>
  </w:style>
  <w:style w:type="character" w:styleId="CommentReference">
    <w:name w:val="annotation reference"/>
    <w:basedOn w:val="DefaultParagraphFont"/>
    <w:uiPriority w:val="99"/>
    <w:semiHidden/>
    <w:unhideWhenUsed/>
    <w:rsid w:val="00101E12"/>
    <w:rPr>
      <w:sz w:val="16"/>
      <w:szCs w:val="16"/>
    </w:rPr>
  </w:style>
  <w:style w:type="paragraph" w:styleId="CommentText">
    <w:name w:val="annotation text"/>
    <w:basedOn w:val="Normal"/>
    <w:link w:val="CommentTextChar"/>
    <w:uiPriority w:val="99"/>
    <w:semiHidden/>
    <w:unhideWhenUsed/>
    <w:rsid w:val="00101E12"/>
    <w:pPr>
      <w:spacing w:line="240" w:lineRule="auto"/>
    </w:pPr>
    <w:rPr>
      <w:sz w:val="20"/>
      <w:szCs w:val="20"/>
    </w:rPr>
  </w:style>
  <w:style w:type="character" w:customStyle="1" w:styleId="CommentTextChar">
    <w:name w:val="Comment Text Char"/>
    <w:basedOn w:val="DefaultParagraphFont"/>
    <w:link w:val="CommentText"/>
    <w:uiPriority w:val="99"/>
    <w:semiHidden/>
    <w:rsid w:val="00101E1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101E12"/>
    <w:rPr>
      <w:b/>
      <w:bCs/>
    </w:rPr>
  </w:style>
  <w:style w:type="character" w:customStyle="1" w:styleId="CommentSubjectChar">
    <w:name w:val="Comment Subject Char"/>
    <w:basedOn w:val="CommentTextChar"/>
    <w:link w:val="CommentSubject"/>
    <w:uiPriority w:val="99"/>
    <w:semiHidden/>
    <w:rsid w:val="00101E12"/>
    <w:rPr>
      <w:rFonts w:ascii="Verdana" w:hAnsi="Verdana"/>
      <w:b/>
      <w:bCs/>
      <w:sz w:val="20"/>
      <w:szCs w:val="20"/>
    </w:rPr>
  </w:style>
  <w:style w:type="character" w:styleId="Hyperlink">
    <w:name w:val="Hyperlink"/>
    <w:basedOn w:val="DefaultParagraphFont"/>
    <w:uiPriority w:val="99"/>
    <w:unhideWhenUsed/>
    <w:rsid w:val="002F6365"/>
    <w:rPr>
      <w:color w:val="0563C1" w:themeColor="hyperlink"/>
      <w:u w:val="single"/>
    </w:rPr>
  </w:style>
  <w:style w:type="character" w:customStyle="1" w:styleId="UnresolvedMention1">
    <w:name w:val="Unresolved Mention1"/>
    <w:basedOn w:val="DefaultParagraphFont"/>
    <w:uiPriority w:val="99"/>
    <w:semiHidden/>
    <w:unhideWhenUsed/>
    <w:rsid w:val="002F6365"/>
    <w:rPr>
      <w:color w:val="605E5C"/>
      <w:shd w:val="clear" w:color="auto" w:fill="E1DFDD"/>
    </w:rPr>
  </w:style>
  <w:style w:type="character" w:styleId="FollowedHyperlink">
    <w:name w:val="FollowedHyperlink"/>
    <w:basedOn w:val="DefaultParagraphFont"/>
    <w:uiPriority w:val="99"/>
    <w:semiHidden/>
    <w:unhideWhenUsed/>
    <w:rsid w:val="007D5D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99282">
      <w:bodyDiv w:val="1"/>
      <w:marLeft w:val="0"/>
      <w:marRight w:val="0"/>
      <w:marTop w:val="0"/>
      <w:marBottom w:val="0"/>
      <w:divBdr>
        <w:top w:val="none" w:sz="0" w:space="0" w:color="auto"/>
        <w:left w:val="none" w:sz="0" w:space="0" w:color="auto"/>
        <w:bottom w:val="none" w:sz="0" w:space="0" w:color="auto"/>
        <w:right w:val="none" w:sz="0" w:space="0" w:color="auto"/>
      </w:divBdr>
    </w:div>
    <w:div w:id="218324000">
      <w:bodyDiv w:val="1"/>
      <w:marLeft w:val="0"/>
      <w:marRight w:val="0"/>
      <w:marTop w:val="0"/>
      <w:marBottom w:val="0"/>
      <w:divBdr>
        <w:top w:val="none" w:sz="0" w:space="0" w:color="auto"/>
        <w:left w:val="none" w:sz="0" w:space="0" w:color="auto"/>
        <w:bottom w:val="none" w:sz="0" w:space="0" w:color="auto"/>
        <w:right w:val="none" w:sz="0" w:space="0" w:color="auto"/>
      </w:divBdr>
      <w:divsChild>
        <w:div w:id="1220088653">
          <w:marLeft w:val="547"/>
          <w:marRight w:val="0"/>
          <w:marTop w:val="0"/>
          <w:marBottom w:val="0"/>
          <w:divBdr>
            <w:top w:val="none" w:sz="0" w:space="0" w:color="auto"/>
            <w:left w:val="none" w:sz="0" w:space="0" w:color="auto"/>
            <w:bottom w:val="none" w:sz="0" w:space="0" w:color="auto"/>
            <w:right w:val="none" w:sz="0" w:space="0" w:color="auto"/>
          </w:divBdr>
        </w:div>
      </w:divsChild>
    </w:div>
    <w:div w:id="480272216">
      <w:bodyDiv w:val="1"/>
      <w:marLeft w:val="0"/>
      <w:marRight w:val="0"/>
      <w:marTop w:val="0"/>
      <w:marBottom w:val="0"/>
      <w:divBdr>
        <w:top w:val="none" w:sz="0" w:space="0" w:color="auto"/>
        <w:left w:val="none" w:sz="0" w:space="0" w:color="auto"/>
        <w:bottom w:val="none" w:sz="0" w:space="0" w:color="auto"/>
        <w:right w:val="none" w:sz="0" w:space="0" w:color="auto"/>
      </w:divBdr>
      <w:divsChild>
        <w:div w:id="70860927">
          <w:marLeft w:val="547"/>
          <w:marRight w:val="0"/>
          <w:marTop w:val="0"/>
          <w:marBottom w:val="0"/>
          <w:divBdr>
            <w:top w:val="none" w:sz="0" w:space="0" w:color="auto"/>
            <w:left w:val="none" w:sz="0" w:space="0" w:color="auto"/>
            <w:bottom w:val="none" w:sz="0" w:space="0" w:color="auto"/>
            <w:right w:val="none" w:sz="0" w:space="0" w:color="auto"/>
          </w:divBdr>
        </w:div>
        <w:div w:id="664285558">
          <w:marLeft w:val="547"/>
          <w:marRight w:val="0"/>
          <w:marTop w:val="0"/>
          <w:marBottom w:val="0"/>
          <w:divBdr>
            <w:top w:val="none" w:sz="0" w:space="0" w:color="auto"/>
            <w:left w:val="none" w:sz="0" w:space="0" w:color="auto"/>
            <w:bottom w:val="none" w:sz="0" w:space="0" w:color="auto"/>
            <w:right w:val="none" w:sz="0" w:space="0" w:color="auto"/>
          </w:divBdr>
        </w:div>
        <w:div w:id="920987024">
          <w:marLeft w:val="547"/>
          <w:marRight w:val="0"/>
          <w:marTop w:val="0"/>
          <w:marBottom w:val="0"/>
          <w:divBdr>
            <w:top w:val="none" w:sz="0" w:space="0" w:color="auto"/>
            <w:left w:val="none" w:sz="0" w:space="0" w:color="auto"/>
            <w:bottom w:val="none" w:sz="0" w:space="0" w:color="auto"/>
            <w:right w:val="none" w:sz="0" w:space="0" w:color="auto"/>
          </w:divBdr>
        </w:div>
        <w:div w:id="1487429012">
          <w:marLeft w:val="547"/>
          <w:marRight w:val="0"/>
          <w:marTop w:val="0"/>
          <w:marBottom w:val="0"/>
          <w:divBdr>
            <w:top w:val="none" w:sz="0" w:space="0" w:color="auto"/>
            <w:left w:val="none" w:sz="0" w:space="0" w:color="auto"/>
            <w:bottom w:val="none" w:sz="0" w:space="0" w:color="auto"/>
            <w:right w:val="none" w:sz="0" w:space="0" w:color="auto"/>
          </w:divBdr>
        </w:div>
        <w:div w:id="1334454230">
          <w:marLeft w:val="547"/>
          <w:marRight w:val="0"/>
          <w:marTop w:val="0"/>
          <w:marBottom w:val="0"/>
          <w:divBdr>
            <w:top w:val="none" w:sz="0" w:space="0" w:color="auto"/>
            <w:left w:val="none" w:sz="0" w:space="0" w:color="auto"/>
            <w:bottom w:val="none" w:sz="0" w:space="0" w:color="auto"/>
            <w:right w:val="none" w:sz="0" w:space="0" w:color="auto"/>
          </w:divBdr>
        </w:div>
        <w:div w:id="290523988">
          <w:marLeft w:val="547"/>
          <w:marRight w:val="0"/>
          <w:marTop w:val="0"/>
          <w:marBottom w:val="0"/>
          <w:divBdr>
            <w:top w:val="none" w:sz="0" w:space="0" w:color="auto"/>
            <w:left w:val="none" w:sz="0" w:space="0" w:color="auto"/>
            <w:bottom w:val="none" w:sz="0" w:space="0" w:color="auto"/>
            <w:right w:val="none" w:sz="0" w:space="0" w:color="auto"/>
          </w:divBdr>
        </w:div>
        <w:div w:id="310401728">
          <w:marLeft w:val="547"/>
          <w:marRight w:val="0"/>
          <w:marTop w:val="0"/>
          <w:marBottom w:val="0"/>
          <w:divBdr>
            <w:top w:val="none" w:sz="0" w:space="0" w:color="auto"/>
            <w:left w:val="none" w:sz="0" w:space="0" w:color="auto"/>
            <w:bottom w:val="none" w:sz="0" w:space="0" w:color="auto"/>
            <w:right w:val="none" w:sz="0" w:space="0" w:color="auto"/>
          </w:divBdr>
        </w:div>
      </w:divsChild>
    </w:div>
    <w:div w:id="1621646963">
      <w:bodyDiv w:val="1"/>
      <w:marLeft w:val="0"/>
      <w:marRight w:val="0"/>
      <w:marTop w:val="0"/>
      <w:marBottom w:val="0"/>
      <w:divBdr>
        <w:top w:val="none" w:sz="0" w:space="0" w:color="auto"/>
        <w:left w:val="none" w:sz="0" w:space="0" w:color="auto"/>
        <w:bottom w:val="none" w:sz="0" w:space="0" w:color="auto"/>
        <w:right w:val="none" w:sz="0" w:space="0" w:color="auto"/>
      </w:divBdr>
    </w:div>
    <w:div w:id="1650017977">
      <w:bodyDiv w:val="1"/>
      <w:marLeft w:val="0"/>
      <w:marRight w:val="0"/>
      <w:marTop w:val="0"/>
      <w:marBottom w:val="0"/>
      <w:divBdr>
        <w:top w:val="none" w:sz="0" w:space="0" w:color="auto"/>
        <w:left w:val="none" w:sz="0" w:space="0" w:color="auto"/>
        <w:bottom w:val="none" w:sz="0" w:space="0" w:color="auto"/>
        <w:right w:val="none" w:sz="0" w:space="0" w:color="auto"/>
      </w:divBdr>
    </w:div>
    <w:div w:id="190317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celcis.org/files/5615/9541/7476/Inform_Briefing_-_Bridging_the_digital_divide_for_Care_Leavers_in_Scotland__July_2020.pdf" TargetMode="External"/><Relationship Id="rId20" Type="http://schemas.openxmlformats.org/officeDocument/2006/relationships/header" Target="header1.xml"/><Relationship Id="rId29"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3.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footer" Target="footer2.xml"/><Relationship Id="rId28" Type="http://schemas.microsoft.com/office/2018/08/relationships/commentsExtensible" Target="commentsExtensible.xml"/><Relationship Id="rId10" Type="http://schemas.openxmlformats.org/officeDocument/2006/relationships/hyperlink" Target="https://assets.publishing.service.gov.uk/government/uploads/system/uploads/attachment_data/file/955953/Lifelong_Links_evaluation_report.pdf"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celcis.org/files/5616/2029/6297/Lifelong_Links_Briefing.pdf" TargetMode="External"/><Relationship Id="rId14" Type="http://schemas.openxmlformats.org/officeDocument/2006/relationships/diagramColors" Target="diagrams/colors1.xml"/><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FAEE15-5441-492C-BB50-D6FCAA0C6A16}" type="doc">
      <dgm:prSet loTypeId="urn:microsoft.com/office/officeart/2005/8/layout/process2" loCatId="process" qsTypeId="urn:microsoft.com/office/officeart/2005/8/quickstyle/simple2" qsCatId="simple" csTypeId="urn:microsoft.com/office/officeart/2005/8/colors/accent1_1" csCatId="accent1" phldr="1"/>
      <dgm:spPr/>
    </dgm:pt>
    <dgm:pt modelId="{E447E771-5CB7-4288-8F0B-076F1E291E3D}">
      <dgm:prSet phldrT="[Text]" custT="1"/>
      <dgm:spPr/>
      <dgm:t>
        <a:bodyPr/>
        <a:lstStyle/>
        <a:p>
          <a:r>
            <a:rPr lang="en-GB" sz="1100">
              <a:latin typeface="Verdana" panose="020B0604030504040204" pitchFamily="34" charset="0"/>
              <a:ea typeface="Verdana" panose="020B0604030504040204" pitchFamily="34" charset="0"/>
            </a:rPr>
            <a:t>March 2020 - First lockdown: </a:t>
          </a:r>
          <a:br>
            <a:rPr lang="en-GB" sz="1100">
              <a:latin typeface="Verdana" panose="020B0604030504040204" pitchFamily="34" charset="0"/>
              <a:ea typeface="Verdana" panose="020B0604030504040204" pitchFamily="34" charset="0"/>
            </a:rPr>
          </a:br>
          <a:r>
            <a:rPr lang="en-GB" sz="1100">
              <a:latin typeface="Verdana" panose="020B0604030504040204" pitchFamily="34" charset="0"/>
              <a:ea typeface="Verdana" panose="020B0604030504040204" pitchFamily="34" charset="0"/>
            </a:rPr>
            <a:t>Lifelong Links direct work pauses</a:t>
          </a:r>
          <a:endParaRPr lang="en-US" sz="1100">
            <a:latin typeface="Verdana" panose="020B0604030504040204" pitchFamily="34" charset="0"/>
            <a:ea typeface="Verdana" panose="020B0604030504040204" pitchFamily="34" charset="0"/>
          </a:endParaRPr>
        </a:p>
      </dgm:t>
    </dgm:pt>
    <dgm:pt modelId="{51052A51-E939-41C7-A2FB-E99207FF1C61}" type="parTrans" cxnId="{9C2FC316-8AFB-40BA-9DAE-308E83FBD425}">
      <dgm:prSet/>
      <dgm:spPr/>
      <dgm:t>
        <a:bodyPr/>
        <a:lstStyle/>
        <a:p>
          <a:endParaRPr lang="en-US"/>
        </a:p>
      </dgm:t>
    </dgm:pt>
    <dgm:pt modelId="{DCD76E95-0F63-43F8-ABFA-463AD7BD08B3}" type="sibTrans" cxnId="{9C2FC316-8AFB-40BA-9DAE-308E83FBD425}">
      <dgm:prSet/>
      <dgm:spPr/>
      <dgm:t>
        <a:bodyPr/>
        <a:lstStyle/>
        <a:p>
          <a:endParaRPr lang="en-US"/>
        </a:p>
      </dgm:t>
    </dgm:pt>
    <dgm:pt modelId="{9DBEACB8-A317-49DD-B92E-4B65CAC0A79C}">
      <dgm:prSet phldrT="[Text]" custT="1"/>
      <dgm:spPr/>
      <dgm:t>
        <a:bodyPr/>
        <a:lstStyle/>
        <a:p>
          <a:r>
            <a:rPr lang="en-GB" sz="1100">
              <a:latin typeface="Verdana" panose="020B0604030504040204" pitchFamily="34" charset="0"/>
              <a:ea typeface="Verdana" panose="020B0604030504040204" pitchFamily="34" charset="0"/>
            </a:rPr>
            <a:t>June 2020 to October 2020 - Lockdown restrictions ease:</a:t>
          </a:r>
          <a:br>
            <a:rPr lang="en-GB" sz="1100">
              <a:latin typeface="Verdana" panose="020B0604030504040204" pitchFamily="34" charset="0"/>
              <a:ea typeface="Verdana" panose="020B0604030504040204" pitchFamily="34" charset="0"/>
            </a:rPr>
          </a:br>
          <a:r>
            <a:rPr lang="en-GB" sz="1100">
              <a:latin typeface="Verdana" panose="020B0604030504040204" pitchFamily="34" charset="0"/>
              <a:ea typeface="Verdana" panose="020B0604030504040204" pitchFamily="34" charset="0"/>
            </a:rPr>
            <a:t>Lifelong Links direct work resumes</a:t>
          </a:r>
          <a:endParaRPr lang="en-US" sz="1100">
            <a:latin typeface="Verdana" panose="020B0604030504040204" pitchFamily="34" charset="0"/>
            <a:ea typeface="Verdana" panose="020B0604030504040204" pitchFamily="34" charset="0"/>
          </a:endParaRPr>
        </a:p>
      </dgm:t>
    </dgm:pt>
    <dgm:pt modelId="{B800F4D3-8952-4E68-9AFB-3E30529EA59C}" type="parTrans" cxnId="{753B2F74-0370-4292-BCEB-BE9927F167A7}">
      <dgm:prSet/>
      <dgm:spPr/>
      <dgm:t>
        <a:bodyPr/>
        <a:lstStyle/>
        <a:p>
          <a:endParaRPr lang="en-US"/>
        </a:p>
      </dgm:t>
    </dgm:pt>
    <dgm:pt modelId="{AAB8ACE3-7033-46DD-93F3-F9CB295A2D82}" type="sibTrans" cxnId="{753B2F74-0370-4292-BCEB-BE9927F167A7}">
      <dgm:prSet/>
      <dgm:spPr/>
      <dgm:t>
        <a:bodyPr/>
        <a:lstStyle/>
        <a:p>
          <a:endParaRPr lang="en-US"/>
        </a:p>
      </dgm:t>
    </dgm:pt>
    <dgm:pt modelId="{FFAE8BA7-1F1C-4F1E-AD3C-1E6614DE0155}">
      <dgm:prSet custT="1"/>
      <dgm:spPr/>
      <dgm:t>
        <a:bodyPr/>
        <a:lstStyle/>
        <a:p>
          <a:r>
            <a:rPr lang="en-GB" sz="1100">
              <a:latin typeface="Verdana" panose="020B0604030504040204" pitchFamily="34" charset="0"/>
              <a:ea typeface="Verdana" panose="020B0604030504040204" pitchFamily="34" charset="0"/>
            </a:rPr>
            <a:t>April 2021 - Second Lockdown restrictions ease, the COVID-19 tier system for restrictions resumes</a:t>
          </a:r>
        </a:p>
      </dgm:t>
    </dgm:pt>
    <dgm:pt modelId="{9EA15333-B594-404F-AFCB-F62EF1A9A6D6}" type="parTrans" cxnId="{B1E4C458-40FE-453E-990D-045C1553CFB4}">
      <dgm:prSet/>
      <dgm:spPr/>
      <dgm:t>
        <a:bodyPr/>
        <a:lstStyle/>
        <a:p>
          <a:endParaRPr lang="en-US"/>
        </a:p>
      </dgm:t>
    </dgm:pt>
    <dgm:pt modelId="{36A29ABF-61FA-42A8-9066-F6BD0B1CBDB4}" type="sibTrans" cxnId="{B1E4C458-40FE-453E-990D-045C1553CFB4}">
      <dgm:prSet/>
      <dgm:spPr/>
      <dgm:t>
        <a:bodyPr/>
        <a:lstStyle/>
        <a:p>
          <a:endParaRPr lang="en-US"/>
        </a:p>
      </dgm:t>
    </dgm:pt>
    <dgm:pt modelId="{558ED3C3-60C8-4090-9DAF-C504FC97204A}">
      <dgm:prSet custT="1"/>
      <dgm:spPr/>
      <dgm:t>
        <a:bodyPr/>
        <a:lstStyle/>
        <a:p>
          <a:r>
            <a:rPr lang="en-GB" sz="1100">
              <a:latin typeface="Verdana" panose="020B0604030504040204" pitchFamily="34" charset="0"/>
              <a:ea typeface="Verdana" panose="020B0604030504040204" pitchFamily="34" charset="0"/>
            </a:rPr>
            <a:t>October 2020 - Scotland introduces a COVID-19 tier system for restrictions</a:t>
          </a:r>
        </a:p>
      </dgm:t>
    </dgm:pt>
    <dgm:pt modelId="{04B335CC-6B1A-4277-8728-E00F75E7960D}" type="parTrans" cxnId="{802156D9-B30E-4A41-9A52-D090AD257FF7}">
      <dgm:prSet/>
      <dgm:spPr/>
      <dgm:t>
        <a:bodyPr/>
        <a:lstStyle/>
        <a:p>
          <a:endParaRPr lang="en-US"/>
        </a:p>
      </dgm:t>
    </dgm:pt>
    <dgm:pt modelId="{F1662464-5B53-41A6-B5E5-E5A3E170EE3D}" type="sibTrans" cxnId="{802156D9-B30E-4A41-9A52-D090AD257FF7}">
      <dgm:prSet/>
      <dgm:spPr/>
      <dgm:t>
        <a:bodyPr/>
        <a:lstStyle/>
        <a:p>
          <a:endParaRPr lang="en-US"/>
        </a:p>
      </dgm:t>
    </dgm:pt>
    <dgm:pt modelId="{FAB6A50B-E17E-40E9-9A26-45064EF43796}">
      <dgm:prSet custT="1"/>
      <dgm:spPr/>
      <dgm:t>
        <a:bodyPr/>
        <a:lstStyle/>
        <a:p>
          <a:r>
            <a:rPr lang="en-GB" sz="1100">
              <a:latin typeface="Verdana" panose="020B0604030504040204" pitchFamily="34" charset="0"/>
              <a:ea typeface="Verdana" panose="020B0604030504040204" pitchFamily="34" charset="0"/>
            </a:rPr>
            <a:t>January 2021- Second lockdown:</a:t>
          </a:r>
          <a:br>
            <a:rPr lang="en-GB" sz="1100">
              <a:latin typeface="Verdana" panose="020B0604030504040204" pitchFamily="34" charset="0"/>
              <a:ea typeface="Verdana" panose="020B0604030504040204" pitchFamily="34" charset="0"/>
            </a:rPr>
          </a:br>
          <a:r>
            <a:rPr lang="en-GB" sz="1100">
              <a:latin typeface="Verdana" panose="020B0604030504040204" pitchFamily="34" charset="0"/>
              <a:ea typeface="Verdana" panose="020B0604030504040204" pitchFamily="34" charset="0"/>
            </a:rPr>
            <a:t>Lifelong Links direct work continues</a:t>
          </a:r>
        </a:p>
      </dgm:t>
    </dgm:pt>
    <dgm:pt modelId="{C529AB4E-DB6A-4D20-8BCD-A94571AEB069}" type="parTrans" cxnId="{59283103-85CC-4BF0-9ACB-F2D275D02E09}">
      <dgm:prSet/>
      <dgm:spPr/>
      <dgm:t>
        <a:bodyPr/>
        <a:lstStyle/>
        <a:p>
          <a:endParaRPr lang="en-US"/>
        </a:p>
      </dgm:t>
    </dgm:pt>
    <dgm:pt modelId="{54FBFC0D-F692-499D-B47F-61F62EA83D0E}" type="sibTrans" cxnId="{59283103-85CC-4BF0-9ACB-F2D275D02E09}">
      <dgm:prSet/>
      <dgm:spPr/>
      <dgm:t>
        <a:bodyPr/>
        <a:lstStyle/>
        <a:p>
          <a:endParaRPr lang="en-US"/>
        </a:p>
      </dgm:t>
    </dgm:pt>
    <dgm:pt modelId="{35ADBCC3-6C70-4D39-B44E-8C0FB0D6B52F}" type="pres">
      <dgm:prSet presAssocID="{C8FAEE15-5441-492C-BB50-D6FCAA0C6A16}" presName="linearFlow" presStyleCnt="0">
        <dgm:presLayoutVars>
          <dgm:resizeHandles val="exact"/>
        </dgm:presLayoutVars>
      </dgm:prSet>
      <dgm:spPr/>
    </dgm:pt>
    <dgm:pt modelId="{D40DFF17-C3EE-4A79-9681-4F99331CABB0}" type="pres">
      <dgm:prSet presAssocID="{E447E771-5CB7-4288-8F0B-076F1E291E3D}" presName="node" presStyleLbl="node1" presStyleIdx="0" presStyleCnt="5" custScaleX="180956">
        <dgm:presLayoutVars>
          <dgm:bulletEnabled val="1"/>
        </dgm:presLayoutVars>
      </dgm:prSet>
      <dgm:spPr/>
      <dgm:t>
        <a:bodyPr/>
        <a:lstStyle/>
        <a:p>
          <a:endParaRPr lang="en-US"/>
        </a:p>
      </dgm:t>
    </dgm:pt>
    <dgm:pt modelId="{F239E700-C6C4-48E7-BD50-31B79ACF245A}" type="pres">
      <dgm:prSet presAssocID="{DCD76E95-0F63-43F8-ABFA-463AD7BD08B3}" presName="sibTrans" presStyleLbl="sibTrans2D1" presStyleIdx="0" presStyleCnt="4" custLinFactNeighborY="7350"/>
      <dgm:spPr/>
      <dgm:t>
        <a:bodyPr/>
        <a:lstStyle/>
        <a:p>
          <a:endParaRPr lang="en-US"/>
        </a:p>
      </dgm:t>
    </dgm:pt>
    <dgm:pt modelId="{DBAD0A43-67A2-4FE3-860A-9FE68DFDB1F1}" type="pres">
      <dgm:prSet presAssocID="{DCD76E95-0F63-43F8-ABFA-463AD7BD08B3}" presName="connectorText" presStyleLbl="sibTrans2D1" presStyleIdx="0" presStyleCnt="4"/>
      <dgm:spPr/>
      <dgm:t>
        <a:bodyPr/>
        <a:lstStyle/>
        <a:p>
          <a:endParaRPr lang="en-US"/>
        </a:p>
      </dgm:t>
    </dgm:pt>
    <dgm:pt modelId="{A7BCDD4B-EC2C-4036-8FE3-808C83EA0159}" type="pres">
      <dgm:prSet presAssocID="{9DBEACB8-A317-49DD-B92E-4B65CAC0A79C}" presName="node" presStyleLbl="node1" presStyleIdx="1" presStyleCnt="5" custScaleX="178680" custScaleY="113644">
        <dgm:presLayoutVars>
          <dgm:bulletEnabled val="1"/>
        </dgm:presLayoutVars>
      </dgm:prSet>
      <dgm:spPr/>
      <dgm:t>
        <a:bodyPr/>
        <a:lstStyle/>
        <a:p>
          <a:endParaRPr lang="en-US"/>
        </a:p>
      </dgm:t>
    </dgm:pt>
    <dgm:pt modelId="{12403260-3036-4B4F-803A-0C2D90583F2F}" type="pres">
      <dgm:prSet presAssocID="{AAB8ACE3-7033-46DD-93F3-F9CB295A2D82}" presName="sibTrans" presStyleLbl="sibTrans2D1" presStyleIdx="1" presStyleCnt="4"/>
      <dgm:spPr/>
      <dgm:t>
        <a:bodyPr/>
        <a:lstStyle/>
        <a:p>
          <a:endParaRPr lang="en-US"/>
        </a:p>
      </dgm:t>
    </dgm:pt>
    <dgm:pt modelId="{13AF05AD-EE6B-4B78-AE32-9070D323CC96}" type="pres">
      <dgm:prSet presAssocID="{AAB8ACE3-7033-46DD-93F3-F9CB295A2D82}" presName="connectorText" presStyleLbl="sibTrans2D1" presStyleIdx="1" presStyleCnt="4"/>
      <dgm:spPr/>
      <dgm:t>
        <a:bodyPr/>
        <a:lstStyle/>
        <a:p>
          <a:endParaRPr lang="en-US"/>
        </a:p>
      </dgm:t>
    </dgm:pt>
    <dgm:pt modelId="{B48A3F86-9E13-4592-9183-F96F76376708}" type="pres">
      <dgm:prSet presAssocID="{558ED3C3-60C8-4090-9DAF-C504FC97204A}" presName="node" presStyleLbl="node1" presStyleIdx="2" presStyleCnt="5" custScaleX="180956">
        <dgm:presLayoutVars>
          <dgm:bulletEnabled val="1"/>
        </dgm:presLayoutVars>
      </dgm:prSet>
      <dgm:spPr/>
      <dgm:t>
        <a:bodyPr/>
        <a:lstStyle/>
        <a:p>
          <a:endParaRPr lang="en-US"/>
        </a:p>
      </dgm:t>
    </dgm:pt>
    <dgm:pt modelId="{997FF85D-71D8-4DAD-BF3B-D9D7350E7171}" type="pres">
      <dgm:prSet presAssocID="{F1662464-5B53-41A6-B5E5-E5A3E170EE3D}" presName="sibTrans" presStyleLbl="sibTrans2D1" presStyleIdx="2" presStyleCnt="4"/>
      <dgm:spPr/>
      <dgm:t>
        <a:bodyPr/>
        <a:lstStyle/>
        <a:p>
          <a:endParaRPr lang="en-US"/>
        </a:p>
      </dgm:t>
    </dgm:pt>
    <dgm:pt modelId="{4EDD886D-EE31-480D-B589-401EC471AB13}" type="pres">
      <dgm:prSet presAssocID="{F1662464-5B53-41A6-B5E5-E5A3E170EE3D}" presName="connectorText" presStyleLbl="sibTrans2D1" presStyleIdx="2" presStyleCnt="4"/>
      <dgm:spPr/>
      <dgm:t>
        <a:bodyPr/>
        <a:lstStyle/>
        <a:p>
          <a:endParaRPr lang="en-US"/>
        </a:p>
      </dgm:t>
    </dgm:pt>
    <dgm:pt modelId="{6A05FDA3-3491-45E8-BAB1-28FE0937CE09}" type="pres">
      <dgm:prSet presAssocID="{FAB6A50B-E17E-40E9-9A26-45064EF43796}" presName="node" presStyleLbl="node1" presStyleIdx="3" presStyleCnt="5" custScaleX="179818">
        <dgm:presLayoutVars>
          <dgm:bulletEnabled val="1"/>
        </dgm:presLayoutVars>
      </dgm:prSet>
      <dgm:spPr/>
      <dgm:t>
        <a:bodyPr/>
        <a:lstStyle/>
        <a:p>
          <a:endParaRPr lang="en-US"/>
        </a:p>
      </dgm:t>
    </dgm:pt>
    <dgm:pt modelId="{805B3AED-153A-4A50-949E-1007EB51E515}" type="pres">
      <dgm:prSet presAssocID="{54FBFC0D-F692-499D-B47F-61F62EA83D0E}" presName="sibTrans" presStyleLbl="sibTrans2D1" presStyleIdx="3" presStyleCnt="4"/>
      <dgm:spPr/>
      <dgm:t>
        <a:bodyPr/>
        <a:lstStyle/>
        <a:p>
          <a:endParaRPr lang="en-US"/>
        </a:p>
      </dgm:t>
    </dgm:pt>
    <dgm:pt modelId="{8359FE13-4B67-4016-AABD-C590AE1B658E}" type="pres">
      <dgm:prSet presAssocID="{54FBFC0D-F692-499D-B47F-61F62EA83D0E}" presName="connectorText" presStyleLbl="sibTrans2D1" presStyleIdx="3" presStyleCnt="4"/>
      <dgm:spPr/>
      <dgm:t>
        <a:bodyPr/>
        <a:lstStyle/>
        <a:p>
          <a:endParaRPr lang="en-US"/>
        </a:p>
      </dgm:t>
    </dgm:pt>
    <dgm:pt modelId="{C8C1DF8C-6E45-418A-8EF6-A45D672C62A3}" type="pres">
      <dgm:prSet presAssocID="{FFAE8BA7-1F1C-4F1E-AD3C-1E6614DE0155}" presName="node" presStyleLbl="node1" presStyleIdx="4" presStyleCnt="5" custScaleX="180956">
        <dgm:presLayoutVars>
          <dgm:bulletEnabled val="1"/>
        </dgm:presLayoutVars>
      </dgm:prSet>
      <dgm:spPr/>
      <dgm:t>
        <a:bodyPr/>
        <a:lstStyle/>
        <a:p>
          <a:endParaRPr lang="en-US"/>
        </a:p>
      </dgm:t>
    </dgm:pt>
  </dgm:ptLst>
  <dgm:cxnLst>
    <dgm:cxn modelId="{89384290-5335-4E90-8445-B5EE62F4B4AC}" type="presOf" srcId="{DCD76E95-0F63-43F8-ABFA-463AD7BD08B3}" destId="{F239E700-C6C4-48E7-BD50-31B79ACF245A}" srcOrd="0" destOrd="0" presId="urn:microsoft.com/office/officeart/2005/8/layout/process2"/>
    <dgm:cxn modelId="{3D61A62F-7E05-4FF8-90B4-3C0251DDB0F8}" type="presOf" srcId="{C8FAEE15-5441-492C-BB50-D6FCAA0C6A16}" destId="{35ADBCC3-6C70-4D39-B44E-8C0FB0D6B52F}" srcOrd="0" destOrd="0" presId="urn:microsoft.com/office/officeart/2005/8/layout/process2"/>
    <dgm:cxn modelId="{B1E4C458-40FE-453E-990D-045C1553CFB4}" srcId="{C8FAEE15-5441-492C-BB50-D6FCAA0C6A16}" destId="{FFAE8BA7-1F1C-4F1E-AD3C-1E6614DE0155}" srcOrd="4" destOrd="0" parTransId="{9EA15333-B594-404F-AFCB-F62EF1A9A6D6}" sibTransId="{36A29ABF-61FA-42A8-9066-F6BD0B1CBDB4}"/>
    <dgm:cxn modelId="{753B2F74-0370-4292-BCEB-BE9927F167A7}" srcId="{C8FAEE15-5441-492C-BB50-D6FCAA0C6A16}" destId="{9DBEACB8-A317-49DD-B92E-4B65CAC0A79C}" srcOrd="1" destOrd="0" parTransId="{B800F4D3-8952-4E68-9AFB-3E30529EA59C}" sibTransId="{AAB8ACE3-7033-46DD-93F3-F9CB295A2D82}"/>
    <dgm:cxn modelId="{802156D9-B30E-4A41-9A52-D090AD257FF7}" srcId="{C8FAEE15-5441-492C-BB50-D6FCAA0C6A16}" destId="{558ED3C3-60C8-4090-9DAF-C504FC97204A}" srcOrd="2" destOrd="0" parTransId="{04B335CC-6B1A-4277-8728-E00F75E7960D}" sibTransId="{F1662464-5B53-41A6-B5E5-E5A3E170EE3D}"/>
    <dgm:cxn modelId="{9B64D7FD-8140-49C4-A512-D55B2C236B21}" type="presOf" srcId="{54FBFC0D-F692-499D-B47F-61F62EA83D0E}" destId="{8359FE13-4B67-4016-AABD-C590AE1B658E}" srcOrd="1" destOrd="0" presId="urn:microsoft.com/office/officeart/2005/8/layout/process2"/>
    <dgm:cxn modelId="{0ED5BE01-3093-403B-A84B-62D7C95FA373}" type="presOf" srcId="{AAB8ACE3-7033-46DD-93F3-F9CB295A2D82}" destId="{12403260-3036-4B4F-803A-0C2D90583F2F}" srcOrd="0" destOrd="0" presId="urn:microsoft.com/office/officeart/2005/8/layout/process2"/>
    <dgm:cxn modelId="{8783CC26-0D46-46E2-877E-6E1B4463E34B}" type="presOf" srcId="{F1662464-5B53-41A6-B5E5-E5A3E170EE3D}" destId="{4EDD886D-EE31-480D-B589-401EC471AB13}" srcOrd="1" destOrd="0" presId="urn:microsoft.com/office/officeart/2005/8/layout/process2"/>
    <dgm:cxn modelId="{EE505868-902B-4D64-B280-10338ED0B643}" type="presOf" srcId="{AAB8ACE3-7033-46DD-93F3-F9CB295A2D82}" destId="{13AF05AD-EE6B-4B78-AE32-9070D323CC96}" srcOrd="1" destOrd="0" presId="urn:microsoft.com/office/officeart/2005/8/layout/process2"/>
    <dgm:cxn modelId="{66967CBA-31D6-4124-B335-D4626338E13D}" type="presOf" srcId="{FAB6A50B-E17E-40E9-9A26-45064EF43796}" destId="{6A05FDA3-3491-45E8-BAB1-28FE0937CE09}" srcOrd="0" destOrd="0" presId="urn:microsoft.com/office/officeart/2005/8/layout/process2"/>
    <dgm:cxn modelId="{97B6322F-741D-455A-BD6E-39546C137B42}" type="presOf" srcId="{558ED3C3-60C8-4090-9DAF-C504FC97204A}" destId="{B48A3F86-9E13-4592-9183-F96F76376708}" srcOrd="0" destOrd="0" presId="urn:microsoft.com/office/officeart/2005/8/layout/process2"/>
    <dgm:cxn modelId="{57FDA8DA-A17C-4143-A797-B33131A9ECA9}" type="presOf" srcId="{54FBFC0D-F692-499D-B47F-61F62EA83D0E}" destId="{805B3AED-153A-4A50-949E-1007EB51E515}" srcOrd="0" destOrd="0" presId="urn:microsoft.com/office/officeart/2005/8/layout/process2"/>
    <dgm:cxn modelId="{1A16E3D9-CA97-4341-A36F-AAB7971FDE49}" type="presOf" srcId="{F1662464-5B53-41A6-B5E5-E5A3E170EE3D}" destId="{997FF85D-71D8-4DAD-BF3B-D9D7350E7171}" srcOrd="0" destOrd="0" presId="urn:microsoft.com/office/officeart/2005/8/layout/process2"/>
    <dgm:cxn modelId="{9B7E8E12-E904-44DB-8ABF-CF2414686607}" type="presOf" srcId="{E447E771-5CB7-4288-8F0B-076F1E291E3D}" destId="{D40DFF17-C3EE-4A79-9681-4F99331CABB0}" srcOrd="0" destOrd="0" presId="urn:microsoft.com/office/officeart/2005/8/layout/process2"/>
    <dgm:cxn modelId="{690271E5-7BE8-46BF-8A16-B15F0C14B2D0}" type="presOf" srcId="{DCD76E95-0F63-43F8-ABFA-463AD7BD08B3}" destId="{DBAD0A43-67A2-4FE3-860A-9FE68DFDB1F1}" srcOrd="1" destOrd="0" presId="urn:microsoft.com/office/officeart/2005/8/layout/process2"/>
    <dgm:cxn modelId="{333269EC-52E7-4E74-9FC3-1342A3345D44}" type="presOf" srcId="{FFAE8BA7-1F1C-4F1E-AD3C-1E6614DE0155}" destId="{C8C1DF8C-6E45-418A-8EF6-A45D672C62A3}" srcOrd="0" destOrd="0" presId="urn:microsoft.com/office/officeart/2005/8/layout/process2"/>
    <dgm:cxn modelId="{9C2FC316-8AFB-40BA-9DAE-308E83FBD425}" srcId="{C8FAEE15-5441-492C-BB50-D6FCAA0C6A16}" destId="{E447E771-5CB7-4288-8F0B-076F1E291E3D}" srcOrd="0" destOrd="0" parTransId="{51052A51-E939-41C7-A2FB-E99207FF1C61}" sibTransId="{DCD76E95-0F63-43F8-ABFA-463AD7BD08B3}"/>
    <dgm:cxn modelId="{59217900-B487-41AE-8204-BB10E6602273}" type="presOf" srcId="{9DBEACB8-A317-49DD-B92E-4B65CAC0A79C}" destId="{A7BCDD4B-EC2C-4036-8FE3-808C83EA0159}" srcOrd="0" destOrd="0" presId="urn:microsoft.com/office/officeart/2005/8/layout/process2"/>
    <dgm:cxn modelId="{59283103-85CC-4BF0-9ACB-F2D275D02E09}" srcId="{C8FAEE15-5441-492C-BB50-D6FCAA0C6A16}" destId="{FAB6A50B-E17E-40E9-9A26-45064EF43796}" srcOrd="3" destOrd="0" parTransId="{C529AB4E-DB6A-4D20-8BCD-A94571AEB069}" sibTransId="{54FBFC0D-F692-499D-B47F-61F62EA83D0E}"/>
    <dgm:cxn modelId="{EC014408-3B5D-4919-B299-0BD2CAEC948D}" type="presParOf" srcId="{35ADBCC3-6C70-4D39-B44E-8C0FB0D6B52F}" destId="{D40DFF17-C3EE-4A79-9681-4F99331CABB0}" srcOrd="0" destOrd="0" presId="urn:microsoft.com/office/officeart/2005/8/layout/process2"/>
    <dgm:cxn modelId="{DBEFC58E-7BB8-49F0-80AB-1194B6C0B30C}" type="presParOf" srcId="{35ADBCC3-6C70-4D39-B44E-8C0FB0D6B52F}" destId="{F239E700-C6C4-48E7-BD50-31B79ACF245A}" srcOrd="1" destOrd="0" presId="urn:microsoft.com/office/officeart/2005/8/layout/process2"/>
    <dgm:cxn modelId="{26806FDD-9893-49ED-A86D-993F7C36E4ED}" type="presParOf" srcId="{F239E700-C6C4-48E7-BD50-31B79ACF245A}" destId="{DBAD0A43-67A2-4FE3-860A-9FE68DFDB1F1}" srcOrd="0" destOrd="0" presId="urn:microsoft.com/office/officeart/2005/8/layout/process2"/>
    <dgm:cxn modelId="{350C31C5-7F09-4A45-BCF1-A9F809291F93}" type="presParOf" srcId="{35ADBCC3-6C70-4D39-B44E-8C0FB0D6B52F}" destId="{A7BCDD4B-EC2C-4036-8FE3-808C83EA0159}" srcOrd="2" destOrd="0" presId="urn:microsoft.com/office/officeart/2005/8/layout/process2"/>
    <dgm:cxn modelId="{642082E7-D277-4F1C-9CEB-C2A7CB64E130}" type="presParOf" srcId="{35ADBCC3-6C70-4D39-B44E-8C0FB0D6B52F}" destId="{12403260-3036-4B4F-803A-0C2D90583F2F}" srcOrd="3" destOrd="0" presId="urn:microsoft.com/office/officeart/2005/8/layout/process2"/>
    <dgm:cxn modelId="{4D0F2B9A-6CE5-4AB1-91F8-48CBF035227C}" type="presParOf" srcId="{12403260-3036-4B4F-803A-0C2D90583F2F}" destId="{13AF05AD-EE6B-4B78-AE32-9070D323CC96}" srcOrd="0" destOrd="0" presId="urn:microsoft.com/office/officeart/2005/8/layout/process2"/>
    <dgm:cxn modelId="{F9BBAC9B-EC07-49A2-B6C9-4AF43624C5D0}" type="presParOf" srcId="{35ADBCC3-6C70-4D39-B44E-8C0FB0D6B52F}" destId="{B48A3F86-9E13-4592-9183-F96F76376708}" srcOrd="4" destOrd="0" presId="urn:microsoft.com/office/officeart/2005/8/layout/process2"/>
    <dgm:cxn modelId="{283B076E-6E4C-4DA9-8F6D-61E9447BBC72}" type="presParOf" srcId="{35ADBCC3-6C70-4D39-B44E-8C0FB0D6B52F}" destId="{997FF85D-71D8-4DAD-BF3B-D9D7350E7171}" srcOrd="5" destOrd="0" presId="urn:microsoft.com/office/officeart/2005/8/layout/process2"/>
    <dgm:cxn modelId="{DBD30614-8BCF-4D3B-973D-1EE2A272B848}" type="presParOf" srcId="{997FF85D-71D8-4DAD-BF3B-D9D7350E7171}" destId="{4EDD886D-EE31-480D-B589-401EC471AB13}" srcOrd="0" destOrd="0" presId="urn:microsoft.com/office/officeart/2005/8/layout/process2"/>
    <dgm:cxn modelId="{52F2C42F-67AF-4AC3-8505-F37B442918BC}" type="presParOf" srcId="{35ADBCC3-6C70-4D39-B44E-8C0FB0D6B52F}" destId="{6A05FDA3-3491-45E8-BAB1-28FE0937CE09}" srcOrd="6" destOrd="0" presId="urn:microsoft.com/office/officeart/2005/8/layout/process2"/>
    <dgm:cxn modelId="{C75BFD6E-F6B4-4C0E-82E9-13B98503679B}" type="presParOf" srcId="{35ADBCC3-6C70-4D39-B44E-8C0FB0D6B52F}" destId="{805B3AED-153A-4A50-949E-1007EB51E515}" srcOrd="7" destOrd="0" presId="urn:microsoft.com/office/officeart/2005/8/layout/process2"/>
    <dgm:cxn modelId="{AD62781D-67A3-45D7-BB83-459BA30F4C81}" type="presParOf" srcId="{805B3AED-153A-4A50-949E-1007EB51E515}" destId="{8359FE13-4B67-4016-AABD-C590AE1B658E}" srcOrd="0" destOrd="0" presId="urn:microsoft.com/office/officeart/2005/8/layout/process2"/>
    <dgm:cxn modelId="{2E2D21D1-C1F8-4380-9476-86AFFA5F84F6}" type="presParOf" srcId="{35ADBCC3-6C70-4D39-B44E-8C0FB0D6B52F}" destId="{C8C1DF8C-6E45-418A-8EF6-A45D672C62A3}" srcOrd="8" destOrd="0" presId="urn:microsoft.com/office/officeart/2005/8/layout/process2"/>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0DFF17-C3EE-4A79-9681-4F99331CABB0}">
      <dsp:nvSpPr>
        <dsp:cNvPr id="0" name=""/>
        <dsp:cNvSpPr/>
      </dsp:nvSpPr>
      <dsp:spPr>
        <a:xfrm>
          <a:off x="-17859" y="4667"/>
          <a:ext cx="2839878" cy="494132"/>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Verdana" panose="020B0604030504040204" pitchFamily="34" charset="0"/>
              <a:ea typeface="Verdana" panose="020B0604030504040204" pitchFamily="34" charset="0"/>
            </a:rPr>
            <a:t>March 2020 - First lockdown: </a:t>
          </a:r>
          <a:br>
            <a:rPr lang="en-GB" sz="1100" kern="1200">
              <a:latin typeface="Verdana" panose="020B0604030504040204" pitchFamily="34" charset="0"/>
              <a:ea typeface="Verdana" panose="020B0604030504040204" pitchFamily="34" charset="0"/>
            </a:rPr>
          </a:br>
          <a:r>
            <a:rPr lang="en-GB" sz="1100" kern="1200">
              <a:latin typeface="Verdana" panose="020B0604030504040204" pitchFamily="34" charset="0"/>
              <a:ea typeface="Verdana" panose="020B0604030504040204" pitchFamily="34" charset="0"/>
            </a:rPr>
            <a:t>Lifelong Links direct work pauses</a:t>
          </a:r>
          <a:endParaRPr lang="en-US" sz="1100" kern="1200">
            <a:latin typeface="Verdana" panose="020B0604030504040204" pitchFamily="34" charset="0"/>
            <a:ea typeface="Verdana" panose="020B0604030504040204" pitchFamily="34" charset="0"/>
          </a:endParaRPr>
        </a:p>
      </dsp:txBody>
      <dsp:txXfrm>
        <a:off x="-3386" y="19140"/>
        <a:ext cx="2810932" cy="465186"/>
      </dsp:txXfrm>
    </dsp:sp>
    <dsp:sp modelId="{F239E700-C6C4-48E7-BD50-31B79ACF245A}">
      <dsp:nvSpPr>
        <dsp:cNvPr id="0" name=""/>
        <dsp:cNvSpPr/>
      </dsp:nvSpPr>
      <dsp:spPr>
        <a:xfrm rot="5400000">
          <a:off x="1309430" y="527496"/>
          <a:ext cx="185299" cy="2223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1335372" y="546026"/>
        <a:ext cx="133415" cy="129709"/>
      </dsp:txXfrm>
    </dsp:sp>
    <dsp:sp modelId="{A7BCDD4B-EC2C-4036-8FE3-808C83EA0159}">
      <dsp:nvSpPr>
        <dsp:cNvPr id="0" name=""/>
        <dsp:cNvSpPr/>
      </dsp:nvSpPr>
      <dsp:spPr>
        <a:xfrm>
          <a:off x="0" y="745865"/>
          <a:ext cx="2804160" cy="561551"/>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Verdana" panose="020B0604030504040204" pitchFamily="34" charset="0"/>
              <a:ea typeface="Verdana" panose="020B0604030504040204" pitchFamily="34" charset="0"/>
            </a:rPr>
            <a:t>June 2020 to October 2020 - Lockdown restrictions ease:</a:t>
          </a:r>
          <a:br>
            <a:rPr lang="en-GB" sz="1100" kern="1200">
              <a:latin typeface="Verdana" panose="020B0604030504040204" pitchFamily="34" charset="0"/>
              <a:ea typeface="Verdana" panose="020B0604030504040204" pitchFamily="34" charset="0"/>
            </a:rPr>
          </a:br>
          <a:r>
            <a:rPr lang="en-GB" sz="1100" kern="1200">
              <a:latin typeface="Verdana" panose="020B0604030504040204" pitchFamily="34" charset="0"/>
              <a:ea typeface="Verdana" panose="020B0604030504040204" pitchFamily="34" charset="0"/>
            </a:rPr>
            <a:t>Lifelong Links direct work resumes</a:t>
          </a:r>
          <a:endParaRPr lang="en-US" sz="1100" kern="1200">
            <a:latin typeface="Verdana" panose="020B0604030504040204" pitchFamily="34" charset="0"/>
            <a:ea typeface="Verdana" panose="020B0604030504040204" pitchFamily="34" charset="0"/>
          </a:endParaRPr>
        </a:p>
      </dsp:txBody>
      <dsp:txXfrm>
        <a:off x="16447" y="762312"/>
        <a:ext cx="2771266" cy="528657"/>
      </dsp:txXfrm>
    </dsp:sp>
    <dsp:sp modelId="{12403260-3036-4B4F-803A-0C2D90583F2F}">
      <dsp:nvSpPr>
        <dsp:cNvPr id="0" name=""/>
        <dsp:cNvSpPr/>
      </dsp:nvSpPr>
      <dsp:spPr>
        <a:xfrm rot="5400000">
          <a:off x="1309430" y="1319770"/>
          <a:ext cx="185299" cy="2223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1335372" y="1338300"/>
        <a:ext cx="133415" cy="129709"/>
      </dsp:txXfrm>
    </dsp:sp>
    <dsp:sp modelId="{B48A3F86-9E13-4592-9183-F96F76376708}">
      <dsp:nvSpPr>
        <dsp:cNvPr id="0" name=""/>
        <dsp:cNvSpPr/>
      </dsp:nvSpPr>
      <dsp:spPr>
        <a:xfrm>
          <a:off x="-17859" y="1554483"/>
          <a:ext cx="2839878" cy="494132"/>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Verdana" panose="020B0604030504040204" pitchFamily="34" charset="0"/>
              <a:ea typeface="Verdana" panose="020B0604030504040204" pitchFamily="34" charset="0"/>
            </a:rPr>
            <a:t>October 2020 - Scotland introduces a COVID-19 tier system for restrictions</a:t>
          </a:r>
        </a:p>
      </dsp:txBody>
      <dsp:txXfrm>
        <a:off x="-3386" y="1568956"/>
        <a:ext cx="2810932" cy="465186"/>
      </dsp:txXfrm>
    </dsp:sp>
    <dsp:sp modelId="{997FF85D-71D8-4DAD-BF3B-D9D7350E7171}">
      <dsp:nvSpPr>
        <dsp:cNvPr id="0" name=""/>
        <dsp:cNvSpPr/>
      </dsp:nvSpPr>
      <dsp:spPr>
        <a:xfrm rot="5400000">
          <a:off x="1309430" y="2060969"/>
          <a:ext cx="185299" cy="2223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1335372" y="2079499"/>
        <a:ext cx="133415" cy="129709"/>
      </dsp:txXfrm>
    </dsp:sp>
    <dsp:sp modelId="{6A05FDA3-3491-45E8-BAB1-28FE0937CE09}">
      <dsp:nvSpPr>
        <dsp:cNvPr id="0" name=""/>
        <dsp:cNvSpPr/>
      </dsp:nvSpPr>
      <dsp:spPr>
        <a:xfrm>
          <a:off x="-8929" y="2295682"/>
          <a:ext cx="2822019" cy="494132"/>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Verdana" panose="020B0604030504040204" pitchFamily="34" charset="0"/>
              <a:ea typeface="Verdana" panose="020B0604030504040204" pitchFamily="34" charset="0"/>
            </a:rPr>
            <a:t>January 2021- Second lockdown:</a:t>
          </a:r>
          <a:br>
            <a:rPr lang="en-GB" sz="1100" kern="1200">
              <a:latin typeface="Verdana" panose="020B0604030504040204" pitchFamily="34" charset="0"/>
              <a:ea typeface="Verdana" panose="020B0604030504040204" pitchFamily="34" charset="0"/>
            </a:rPr>
          </a:br>
          <a:r>
            <a:rPr lang="en-GB" sz="1100" kern="1200">
              <a:latin typeface="Verdana" panose="020B0604030504040204" pitchFamily="34" charset="0"/>
              <a:ea typeface="Verdana" panose="020B0604030504040204" pitchFamily="34" charset="0"/>
            </a:rPr>
            <a:t>Lifelong Links direct work continues</a:t>
          </a:r>
        </a:p>
      </dsp:txBody>
      <dsp:txXfrm>
        <a:off x="5544" y="2310155"/>
        <a:ext cx="2793073" cy="465186"/>
      </dsp:txXfrm>
    </dsp:sp>
    <dsp:sp modelId="{805B3AED-153A-4A50-949E-1007EB51E515}">
      <dsp:nvSpPr>
        <dsp:cNvPr id="0" name=""/>
        <dsp:cNvSpPr/>
      </dsp:nvSpPr>
      <dsp:spPr>
        <a:xfrm rot="5400000">
          <a:off x="1309430" y="2802167"/>
          <a:ext cx="185299" cy="2223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1335372" y="2820697"/>
        <a:ext cx="133415" cy="129709"/>
      </dsp:txXfrm>
    </dsp:sp>
    <dsp:sp modelId="{C8C1DF8C-6E45-418A-8EF6-A45D672C62A3}">
      <dsp:nvSpPr>
        <dsp:cNvPr id="0" name=""/>
        <dsp:cNvSpPr/>
      </dsp:nvSpPr>
      <dsp:spPr>
        <a:xfrm>
          <a:off x="-17859" y="3036880"/>
          <a:ext cx="2839878" cy="494132"/>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latin typeface="Verdana" panose="020B0604030504040204" pitchFamily="34" charset="0"/>
              <a:ea typeface="Verdana" panose="020B0604030504040204" pitchFamily="34" charset="0"/>
            </a:rPr>
            <a:t>April 2021 - Second Lockdown restrictions ease, the COVID-19 tier system for restrictions resumes</a:t>
          </a:r>
        </a:p>
      </dsp:txBody>
      <dsp:txXfrm>
        <a:off x="-3386" y="3051353"/>
        <a:ext cx="2810932" cy="46518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1119</Words>
  <Characters>6384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UOS</Company>
  <LinksUpToDate>false</LinksUpToDate>
  <CharactersWithSpaces>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Fowler</dc:creator>
  <cp:keywords/>
  <dc:description/>
  <cp:lastModifiedBy>Lesley Sneddon</cp:lastModifiedBy>
  <cp:revision>3</cp:revision>
  <dcterms:created xsi:type="dcterms:W3CDTF">2021-07-06T13:28:00Z</dcterms:created>
  <dcterms:modified xsi:type="dcterms:W3CDTF">2021-07-06T13:30:00Z</dcterms:modified>
</cp:coreProperties>
</file>